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61DF8A" w14:textId="15124FD7" w:rsidR="000E5364" w:rsidRPr="000E5364" w:rsidRDefault="000E5364" w:rsidP="000E5364">
      <w:pPr>
        <w:pStyle w:val="Title2"/>
        <w:spacing w:beforeLines="100" w:before="312" w:afterLines="100" w:after="312"/>
        <w:rPr>
          <w:rFonts w:hint="eastAsia"/>
          <w:b w:val="0"/>
          <w:color w:val="000000"/>
          <w:sz w:val="32"/>
          <w:szCs w:val="32"/>
        </w:rPr>
      </w:pPr>
      <w:r w:rsidRPr="00F536EC">
        <w:rPr>
          <w:b w:val="0"/>
          <w:color w:val="000000"/>
          <w:sz w:val="32"/>
          <w:szCs w:val="32"/>
        </w:rPr>
        <w:t xml:space="preserve">Supporting Information </w:t>
      </w:r>
    </w:p>
    <w:p w14:paraId="74C9A4AB" w14:textId="77777777" w:rsidR="000E5364" w:rsidRPr="00F536EC" w:rsidRDefault="000E5364" w:rsidP="000E5364">
      <w:pPr>
        <w:pStyle w:val="Tableofcontents"/>
        <w:spacing w:beforeLines="100" w:before="312" w:after="312"/>
        <w:rPr>
          <w:rStyle w:val="a7"/>
          <w:b w:val="0"/>
          <w:bCs/>
          <w:sz w:val="28"/>
          <w:szCs w:val="28"/>
        </w:rPr>
      </w:pPr>
      <w:r w:rsidRPr="00F536EC">
        <w:rPr>
          <w:rStyle w:val="a7"/>
          <w:bCs/>
          <w:sz w:val="28"/>
          <w:szCs w:val="28"/>
        </w:rPr>
        <w:t>G</w:t>
      </w:r>
      <w:r w:rsidRPr="00F536EC">
        <w:rPr>
          <w:rStyle w:val="a7"/>
          <w:bCs/>
          <w:sz w:val="28"/>
          <w:szCs w:val="28"/>
          <w:lang w:val="fr-FR"/>
        </w:rPr>
        <w:t>ut microbiome is</w:t>
      </w:r>
      <w:r w:rsidRPr="00F536EC">
        <w:rPr>
          <w:rStyle w:val="a7"/>
          <w:bCs/>
          <w:sz w:val="28"/>
          <w:szCs w:val="28"/>
        </w:rPr>
        <w:t xml:space="preserve"> associated with thyroid nodule and functions</w:t>
      </w:r>
    </w:p>
    <w:p w14:paraId="76BF37EB" w14:textId="77777777" w:rsidR="000E5364" w:rsidRPr="00F536EC" w:rsidRDefault="000E5364" w:rsidP="000E5364">
      <w:pPr>
        <w:pStyle w:val="Body"/>
        <w:spacing w:beforeLines="100" w:before="312" w:afterLines="100" w:after="312" w:line="480" w:lineRule="auto"/>
        <w:jc w:val="both"/>
        <w:rPr>
          <w:rStyle w:val="a7"/>
          <w:rFonts w:ascii="Times New Roman" w:eastAsia="Times" w:hAnsi="Times New Roman" w:cs="Times New Roman"/>
          <w:i/>
        </w:rPr>
      </w:pPr>
      <w:r w:rsidRPr="00F536EC">
        <w:rPr>
          <w:rStyle w:val="a7"/>
          <w:rFonts w:ascii="Times New Roman" w:hAnsi="Times New Roman" w:cs="Times New Roman"/>
          <w:i/>
        </w:rPr>
        <w:t>Ang Li, Tiantian Li</w:t>
      </w:r>
      <w:r w:rsidRPr="00F536EC">
        <w:rPr>
          <w:rStyle w:val="a7"/>
          <w:rFonts w:ascii="Times New Roman" w:hAnsi="Times New Roman" w:cs="Times New Roman"/>
          <w:i/>
          <w:vertAlign w:val="superscript"/>
        </w:rPr>
        <w:t xml:space="preserve"> </w:t>
      </w:r>
      <w:r w:rsidRPr="00F536EC">
        <w:rPr>
          <w:rStyle w:val="a7"/>
          <w:rFonts w:ascii="Times New Roman" w:hAnsi="Times New Roman" w:cs="Times New Roman"/>
          <w:i/>
        </w:rPr>
        <w:t>, Xinxin Gao, Hang Yan, Yu Wang, Jingfeng Chen, Mengfan Jiao, Zhigang Ren, Qingmiao Shi, Meng Huang, Lin Wang, Jingmei Li, Yihan Dong, Zhuqing Jia, Lihua Zhang, Qing Feng, Huandi Han, Xiang Yang, Yang Li, Benchen Rao, Detao Yin, Hongqiang Li, Runsheng Ma, Qiang Zeng</w:t>
      </w:r>
      <w:r w:rsidRPr="00F536EC">
        <w:rPr>
          <w:rStyle w:val="a7"/>
          <w:rFonts w:ascii="Times New Roman" w:hAnsi="Times New Roman" w:cs="Times New Roman"/>
          <w:i/>
          <w:vertAlign w:val="superscript"/>
        </w:rPr>
        <w:t xml:space="preserve"> </w:t>
      </w:r>
      <w:r w:rsidRPr="00F536EC">
        <w:rPr>
          <w:rStyle w:val="a7"/>
          <w:rFonts w:ascii="Times New Roman" w:hAnsi="Times New Roman" w:cs="Times New Roman"/>
          <w:i/>
        </w:rPr>
        <w:t>,</w:t>
      </w:r>
      <w:r w:rsidRPr="00F536EC">
        <w:rPr>
          <w:rStyle w:val="a7"/>
          <w:rFonts w:ascii="Times New Roman" w:hAnsi="Times New Roman" w:cs="Times New Roman"/>
          <w:vertAlign w:val="superscript"/>
        </w:rPr>
        <w:t xml:space="preserve"> *</w:t>
      </w:r>
      <w:r w:rsidRPr="00F536EC">
        <w:rPr>
          <w:rStyle w:val="a7"/>
          <w:rFonts w:ascii="Times New Roman" w:hAnsi="Times New Roman" w:cs="Times New Roman"/>
          <w:i/>
        </w:rPr>
        <w:t xml:space="preserve"> Zujiang Yu</w:t>
      </w:r>
      <w:r w:rsidRPr="00F536EC">
        <w:rPr>
          <w:rStyle w:val="a7"/>
          <w:rFonts w:ascii="Times New Roman" w:hAnsi="Times New Roman" w:cs="Times New Roman"/>
          <w:i/>
          <w:vertAlign w:val="superscript"/>
        </w:rPr>
        <w:t xml:space="preserve"> </w:t>
      </w:r>
      <w:r w:rsidRPr="00F536EC">
        <w:rPr>
          <w:rStyle w:val="a7"/>
          <w:rFonts w:ascii="Times New Roman" w:hAnsi="Times New Roman" w:cs="Times New Roman"/>
          <w:i/>
        </w:rPr>
        <w:t>,</w:t>
      </w:r>
      <w:r w:rsidRPr="00F536EC">
        <w:rPr>
          <w:rStyle w:val="a7"/>
          <w:rFonts w:ascii="Times New Roman" w:hAnsi="Times New Roman" w:cs="Times New Roman"/>
          <w:vertAlign w:val="superscript"/>
        </w:rPr>
        <w:t>*</w:t>
      </w:r>
      <w:r w:rsidRPr="00F536EC">
        <w:rPr>
          <w:rStyle w:val="a7"/>
          <w:rFonts w:ascii="Times New Roman" w:hAnsi="Times New Roman" w:cs="Times New Roman"/>
          <w:i/>
        </w:rPr>
        <w:t xml:space="preserve"> and Suying Ding</w:t>
      </w:r>
      <w:r w:rsidRPr="00F536EC">
        <w:rPr>
          <w:rStyle w:val="a7"/>
          <w:rFonts w:ascii="Times New Roman" w:hAnsi="Times New Roman" w:cs="Times New Roman"/>
          <w:i/>
          <w:vertAlign w:val="superscript"/>
        </w:rPr>
        <w:t>*</w:t>
      </w:r>
    </w:p>
    <w:p w14:paraId="20D11FB2" w14:textId="77777777" w:rsidR="000E5364" w:rsidRDefault="000E5364" w:rsidP="000E5364">
      <w:pPr>
        <w:pStyle w:val="Body"/>
        <w:spacing w:beforeLines="100" w:before="312" w:afterLines="100" w:after="312" w:line="480" w:lineRule="auto"/>
        <w:jc w:val="both"/>
        <w:rPr>
          <w:rStyle w:val="a7"/>
          <w:rFonts w:ascii="Times" w:hAnsi="Times"/>
          <w:b/>
          <w:bCs/>
        </w:rPr>
      </w:pPr>
      <w:r w:rsidRPr="00B400B8">
        <w:rPr>
          <w:rStyle w:val="a7"/>
          <w:rFonts w:ascii="Times" w:hAnsi="Times"/>
          <w:b/>
          <w:bCs/>
        </w:rPr>
        <w:t>SUPPLEMENTARY FIGURES</w:t>
      </w:r>
    </w:p>
    <w:p w14:paraId="11B9A3BE"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 xml:space="preserve">Figure S1. </w:t>
      </w:r>
      <w:r>
        <w:rPr>
          <w:rStyle w:val="a7"/>
          <w:rFonts w:ascii="Times" w:hAnsi="Times"/>
        </w:rPr>
        <w:t xml:space="preserve"> </w:t>
      </w:r>
      <w:r>
        <w:rPr>
          <w:rStyle w:val="a7"/>
          <w:rFonts w:ascii="Times" w:hAnsi="Times"/>
          <w:b/>
          <w:bCs/>
        </w:rPr>
        <w:t xml:space="preserve">Principle component analyses (PCA) of the 591 samples. </w:t>
      </w:r>
      <w:r>
        <w:rPr>
          <w:rStyle w:val="a7"/>
          <w:rFonts w:ascii="Times" w:hAnsi="Times"/>
        </w:rPr>
        <w:t xml:space="preserve"> PCA was based on complete demographic features’ information, including age, BMI, Hip circumference (HIP_C), waist circumference (Waist_C), gender and pulse pressure (PP) (n=591). Each colored dot represented a sample with different TI-RADS level. The vectors represented contribution of variables with gradient colors and length. Age was proportional to dot size.</w:t>
      </w:r>
    </w:p>
    <w:p w14:paraId="19CB6CB8" w14:textId="77777777" w:rsidR="000E5364" w:rsidRDefault="000E5364" w:rsidP="000E5364">
      <w:pPr>
        <w:pStyle w:val="Body"/>
        <w:spacing w:beforeLines="100" w:before="312" w:afterLines="100" w:after="312" w:line="480" w:lineRule="auto"/>
        <w:jc w:val="center"/>
        <w:rPr>
          <w:rStyle w:val="a7"/>
          <w:rFonts w:ascii="Times" w:eastAsiaTheme="minorEastAsia" w:hAnsi="Times" w:cs="Times"/>
        </w:rPr>
      </w:pPr>
      <w:r>
        <w:rPr>
          <w:rStyle w:val="a7"/>
          <w:rFonts w:ascii="Times" w:eastAsia="Times" w:hAnsi="Times" w:cs="Times"/>
        </w:rPr>
        <w:object w:dxaOrig="6780" w:dyaOrig="6765" w14:anchorId="2A8708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9pt;height:338.25pt" o:ole="">
            <v:imagedata r:id="rId6" o:title=""/>
          </v:shape>
          <o:OLEObject Type="Embed" ProgID="FoxitPhantom.Document" ShapeID="_x0000_i1025" DrawAspect="Content" ObjectID="_1643821773" r:id="rId7"/>
        </w:object>
      </w:r>
    </w:p>
    <w:p w14:paraId="2C168744" w14:textId="77777777" w:rsidR="000E5364" w:rsidRPr="00434187" w:rsidRDefault="000E5364" w:rsidP="000E5364">
      <w:pPr>
        <w:pStyle w:val="Body"/>
        <w:spacing w:beforeLines="100" w:before="312" w:afterLines="100" w:after="312" w:line="480" w:lineRule="auto"/>
        <w:jc w:val="center"/>
        <w:rPr>
          <w:rStyle w:val="a7"/>
          <w:rFonts w:ascii="Times" w:eastAsiaTheme="minorEastAsia" w:hAnsi="Times" w:cs="Times"/>
        </w:rPr>
      </w:pPr>
    </w:p>
    <w:p w14:paraId="77500CEC"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Figure S2.</w:t>
      </w:r>
      <w:r>
        <w:rPr>
          <w:rStyle w:val="a7"/>
          <w:rFonts w:ascii="Times" w:hAnsi="Times"/>
        </w:rPr>
        <w:t xml:space="preserve"> </w:t>
      </w:r>
      <w:r>
        <w:rPr>
          <w:rStyle w:val="a7"/>
          <w:rFonts w:ascii="Times" w:hAnsi="Times"/>
          <w:b/>
          <w:bCs/>
        </w:rPr>
        <w:t>Overview characteristics of gut microbiota.</w:t>
      </w:r>
      <w:r>
        <w:rPr>
          <w:rStyle w:val="a7"/>
          <w:rFonts w:ascii="Times" w:hAnsi="Times"/>
        </w:rPr>
        <w:t xml:space="preserve"> </w:t>
      </w:r>
      <w:r>
        <w:rPr>
          <w:rStyle w:val="a7"/>
          <w:rFonts w:ascii="Times" w:hAnsi="Times"/>
          <w:b/>
          <w:bCs/>
        </w:rPr>
        <w:t>a,</w:t>
      </w:r>
      <w:r>
        <w:rPr>
          <w:rStyle w:val="a7"/>
          <w:rFonts w:ascii="Times" w:hAnsi="Times"/>
        </w:rPr>
        <w:t xml:space="preserve"> Barplot of top 10 microbiota species (left panel) and 10 pathways (right panel) with relative abundance. </w:t>
      </w:r>
      <w:r>
        <w:rPr>
          <w:rStyle w:val="a7"/>
          <w:rFonts w:ascii="Times" w:hAnsi="Times"/>
          <w:b/>
          <w:bCs/>
        </w:rPr>
        <w:t xml:space="preserve">b, </w:t>
      </w:r>
      <w:r>
        <w:rPr>
          <w:rStyle w:val="a7"/>
          <w:rFonts w:ascii="Times" w:hAnsi="Times"/>
        </w:rPr>
        <w:t xml:space="preserve">Abundance levels of all species and pathways (left panel) with related portion in total microbiota (right panel). </w:t>
      </w:r>
    </w:p>
    <w:p w14:paraId="550CB60A" w14:textId="77777777" w:rsidR="000E5364" w:rsidRDefault="000E5364" w:rsidP="000E5364">
      <w:pPr>
        <w:pStyle w:val="Body"/>
        <w:spacing w:beforeLines="100" w:before="312" w:afterLines="100" w:after="312" w:line="480" w:lineRule="auto"/>
        <w:jc w:val="both"/>
        <w:rPr>
          <w:rStyle w:val="a7"/>
          <w:rFonts w:ascii="Times" w:eastAsiaTheme="minorEastAsia" w:hAnsi="Times" w:cs="Times"/>
        </w:rPr>
      </w:pPr>
      <w:r>
        <w:rPr>
          <w:rStyle w:val="a7"/>
          <w:rFonts w:ascii="Times" w:eastAsia="Times" w:hAnsi="Times" w:cs="Times"/>
        </w:rPr>
        <w:object w:dxaOrig="16110" w:dyaOrig="9495" w14:anchorId="196DAEBC">
          <v:shape id="_x0000_i1026" type="#_x0000_t75" style="width:450.75pt;height:267pt" o:ole="">
            <v:imagedata r:id="rId8" o:title=""/>
          </v:shape>
          <o:OLEObject Type="Embed" ProgID="FoxitPhantom.Document" ShapeID="_x0000_i1026" DrawAspect="Content" ObjectID="_1643821774" r:id="rId9"/>
        </w:object>
      </w:r>
    </w:p>
    <w:p w14:paraId="63B084A8" w14:textId="77777777" w:rsidR="000E5364" w:rsidRPr="00434187" w:rsidRDefault="000E5364" w:rsidP="000E5364">
      <w:pPr>
        <w:pStyle w:val="Body"/>
        <w:spacing w:beforeLines="100" w:before="312" w:afterLines="100" w:after="312" w:line="480" w:lineRule="auto"/>
        <w:jc w:val="both"/>
        <w:rPr>
          <w:rStyle w:val="a7"/>
          <w:rFonts w:ascii="Times" w:eastAsiaTheme="minorEastAsia" w:hAnsi="Times" w:cs="Times"/>
        </w:rPr>
      </w:pPr>
    </w:p>
    <w:p w14:paraId="05DE17DF"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 xml:space="preserve">Figure S3. Distribution of inter and intra distances between TI-RADS. </w:t>
      </w:r>
      <w:r>
        <w:rPr>
          <w:rStyle w:val="a7"/>
          <w:rFonts w:ascii="Times" w:hAnsi="Times"/>
        </w:rPr>
        <w:t xml:space="preserve">Each panel indicated distances among samples of different distance type (Hellinger, JSD, PCD or SCD) and group type, including intragroup(Control vs Control,TN2 vs TN2, TN3 vs TN3, TN4 vs TN4) or intergroup(Control vs TN2, Control vs TN3, Control vs TN4, TN2 vs TN3, TN2 vs TN4, TN3 vs TN4). X-axis was pathway and species , y-axis is distance value of combination of distance type and intra- or intergroup. </w:t>
      </w:r>
      <w:r>
        <w:rPr>
          <w:rStyle w:val="a7"/>
          <w:rFonts w:ascii="Times" w:hAnsi="Times"/>
          <w:b/>
          <w:bCs/>
        </w:rPr>
        <w:t>a,</w:t>
      </w:r>
      <w:r>
        <w:rPr>
          <w:rStyle w:val="a7"/>
          <w:rFonts w:ascii="Times" w:hAnsi="Times"/>
        </w:rPr>
        <w:t>Hellinger distance for intergroup.</w:t>
      </w:r>
      <w:r>
        <w:rPr>
          <w:rStyle w:val="a7"/>
          <w:rFonts w:ascii="Times" w:hAnsi="Times"/>
          <w:b/>
          <w:bCs/>
        </w:rPr>
        <w:t xml:space="preserve"> b,</w:t>
      </w:r>
      <w:r>
        <w:rPr>
          <w:rStyle w:val="a7"/>
          <w:rFonts w:ascii="Times" w:hAnsi="Times"/>
        </w:rPr>
        <w:t>Hellinger distance for intragroup.</w:t>
      </w:r>
      <w:r>
        <w:rPr>
          <w:rStyle w:val="a7"/>
          <w:rFonts w:ascii="Times" w:hAnsi="Times"/>
          <w:b/>
          <w:bCs/>
        </w:rPr>
        <w:t xml:space="preserve"> c,</w:t>
      </w:r>
      <w:r>
        <w:rPr>
          <w:rStyle w:val="a7"/>
          <w:rFonts w:ascii="Times" w:hAnsi="Times"/>
        </w:rPr>
        <w:t xml:space="preserve">JSD for intergroup. </w:t>
      </w:r>
      <w:r>
        <w:rPr>
          <w:rStyle w:val="a7"/>
          <w:rFonts w:ascii="Times" w:hAnsi="Times"/>
          <w:b/>
          <w:bCs/>
        </w:rPr>
        <w:t>d,</w:t>
      </w:r>
      <w:r>
        <w:rPr>
          <w:rStyle w:val="a7"/>
          <w:rFonts w:ascii="Times" w:hAnsi="Times"/>
        </w:rPr>
        <w:t xml:space="preserve">JSD for intragroup. </w:t>
      </w:r>
      <w:r>
        <w:rPr>
          <w:rStyle w:val="a7"/>
          <w:rFonts w:ascii="Times" w:hAnsi="Times"/>
          <w:b/>
          <w:bCs/>
        </w:rPr>
        <w:t>e,</w:t>
      </w:r>
      <w:r>
        <w:rPr>
          <w:rStyle w:val="a7"/>
          <w:rFonts w:ascii="Times" w:hAnsi="Times"/>
        </w:rPr>
        <w:t>PCD for intergroup.</w:t>
      </w:r>
      <w:r>
        <w:rPr>
          <w:rStyle w:val="a7"/>
          <w:rFonts w:ascii="Times" w:hAnsi="Times"/>
          <w:b/>
          <w:bCs/>
        </w:rPr>
        <w:t xml:space="preserve"> f,</w:t>
      </w:r>
      <w:r>
        <w:rPr>
          <w:rStyle w:val="a7"/>
          <w:rFonts w:ascii="Times" w:hAnsi="Times"/>
        </w:rPr>
        <w:t>PCD for intragroup.</w:t>
      </w:r>
      <w:r>
        <w:rPr>
          <w:rStyle w:val="a7"/>
          <w:rFonts w:ascii="Times" w:hAnsi="Times"/>
          <w:b/>
          <w:bCs/>
        </w:rPr>
        <w:t xml:space="preserve"> g,</w:t>
      </w:r>
      <w:r>
        <w:rPr>
          <w:rStyle w:val="a7"/>
          <w:rFonts w:ascii="Times" w:hAnsi="Times"/>
        </w:rPr>
        <w:t>SCD for intergroup.</w:t>
      </w:r>
      <w:r>
        <w:rPr>
          <w:rStyle w:val="a7"/>
          <w:rFonts w:ascii="Times" w:hAnsi="Times"/>
          <w:b/>
          <w:bCs/>
        </w:rPr>
        <w:t xml:space="preserve"> h,</w:t>
      </w:r>
      <w:r>
        <w:rPr>
          <w:rStyle w:val="a7"/>
          <w:rFonts w:ascii="Times" w:hAnsi="Times"/>
        </w:rPr>
        <w:t>SCD for intragroup.</w:t>
      </w:r>
    </w:p>
    <w:p w14:paraId="34467CA3" w14:textId="77777777" w:rsidR="000E5364" w:rsidRDefault="000E5364" w:rsidP="000E5364">
      <w:pPr>
        <w:pStyle w:val="Body"/>
        <w:spacing w:beforeLines="100" w:before="312" w:afterLines="100" w:after="312" w:line="480" w:lineRule="auto"/>
        <w:jc w:val="both"/>
        <w:rPr>
          <w:rStyle w:val="a7"/>
          <w:rFonts w:ascii="Times" w:eastAsiaTheme="minorEastAsia" w:hAnsi="Times" w:cs="Times"/>
        </w:rPr>
      </w:pPr>
      <w:r>
        <w:rPr>
          <w:rStyle w:val="a7"/>
          <w:rFonts w:ascii="Times" w:eastAsia="Times" w:hAnsi="Times" w:cs="Times"/>
        </w:rPr>
        <w:object w:dxaOrig="12150" w:dyaOrig="6765" w14:anchorId="1FD51ED7">
          <v:shape id="_x0000_i1027" type="#_x0000_t75" style="width:452.25pt;height:224.25pt" o:ole="">
            <v:imagedata r:id="rId10" o:title=""/>
          </v:shape>
          <o:OLEObject Type="Embed" ProgID="FoxitPhantom.Document" ShapeID="_x0000_i1027" DrawAspect="Content" ObjectID="_1643821775" r:id="rId11"/>
        </w:object>
      </w:r>
    </w:p>
    <w:p w14:paraId="0F283CA7" w14:textId="77777777" w:rsidR="000E5364" w:rsidRPr="00434187" w:rsidRDefault="000E5364" w:rsidP="000E5364">
      <w:pPr>
        <w:pStyle w:val="Body"/>
        <w:spacing w:beforeLines="100" w:before="312" w:afterLines="100" w:after="312" w:line="480" w:lineRule="auto"/>
        <w:jc w:val="both"/>
        <w:rPr>
          <w:rStyle w:val="a7"/>
          <w:rFonts w:ascii="Times" w:eastAsiaTheme="minorEastAsia" w:hAnsi="Times" w:cs="Times"/>
        </w:rPr>
      </w:pPr>
    </w:p>
    <w:p w14:paraId="15AB986E"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Figure S4. Distribution of distances between TN2 with Control, TN3 and TN4.</w:t>
      </w:r>
      <w:r>
        <w:rPr>
          <w:rStyle w:val="a7"/>
          <w:rFonts w:ascii="Times" w:hAnsi="Times"/>
        </w:rPr>
        <w:t xml:space="preserve"> Each panel indicated distances between TN2 and other groups including Control, TN3 and TN4,  x-axis were groups, y-axis was distance value of combination of distance type (Hellinger, JSD, PCD or SCD) and microbial composition (specy or pathway), significance determined by single sided Student’s t test. </w:t>
      </w:r>
      <w:r>
        <w:rPr>
          <w:rStyle w:val="a7"/>
          <w:rFonts w:ascii="Times" w:hAnsi="Times"/>
          <w:b/>
          <w:bCs/>
        </w:rPr>
        <w:t xml:space="preserve">a, </w:t>
      </w:r>
      <w:r>
        <w:rPr>
          <w:rStyle w:val="a7"/>
          <w:rFonts w:ascii="Times" w:hAnsi="Times"/>
        </w:rPr>
        <w:t xml:space="preserve">Hellinger distance of species. </w:t>
      </w:r>
      <w:r>
        <w:rPr>
          <w:rStyle w:val="a7"/>
          <w:rFonts w:ascii="Times" w:hAnsi="Times"/>
          <w:b/>
          <w:bCs/>
        </w:rPr>
        <w:t xml:space="preserve">b, </w:t>
      </w:r>
      <w:r>
        <w:rPr>
          <w:rStyle w:val="a7"/>
          <w:rFonts w:ascii="Times" w:hAnsi="Times"/>
        </w:rPr>
        <w:t xml:space="preserve"> Hellinger distance of pathways. </w:t>
      </w:r>
      <w:r>
        <w:rPr>
          <w:rStyle w:val="a7"/>
          <w:rFonts w:ascii="Times" w:hAnsi="Times"/>
          <w:b/>
          <w:bCs/>
        </w:rPr>
        <w:t>c,</w:t>
      </w:r>
      <w:r>
        <w:rPr>
          <w:rStyle w:val="a7"/>
          <w:rFonts w:ascii="Times" w:hAnsi="Times"/>
        </w:rPr>
        <w:t xml:space="preserve"> JSD of species. </w:t>
      </w:r>
      <w:r>
        <w:rPr>
          <w:rStyle w:val="a7"/>
          <w:rFonts w:ascii="Times" w:hAnsi="Times"/>
          <w:b/>
          <w:bCs/>
        </w:rPr>
        <w:t xml:space="preserve">d, </w:t>
      </w:r>
      <w:r>
        <w:rPr>
          <w:rStyle w:val="a7"/>
          <w:rFonts w:ascii="Times" w:hAnsi="Times"/>
        </w:rPr>
        <w:t xml:space="preserve">JSD of pathways. </w:t>
      </w:r>
      <w:r>
        <w:rPr>
          <w:rStyle w:val="a7"/>
          <w:rFonts w:ascii="Times" w:hAnsi="Times"/>
          <w:b/>
          <w:bCs/>
        </w:rPr>
        <w:t xml:space="preserve">e, </w:t>
      </w:r>
      <w:r>
        <w:rPr>
          <w:rStyle w:val="a7"/>
          <w:rFonts w:ascii="Times" w:hAnsi="Times"/>
        </w:rPr>
        <w:t xml:space="preserve">SCD of species. </w:t>
      </w:r>
      <w:r>
        <w:rPr>
          <w:rStyle w:val="a7"/>
          <w:rFonts w:ascii="Times" w:hAnsi="Times"/>
          <w:b/>
          <w:bCs/>
        </w:rPr>
        <w:t xml:space="preserve">f, </w:t>
      </w:r>
      <w:r>
        <w:rPr>
          <w:rStyle w:val="a7"/>
          <w:rFonts w:ascii="Times" w:hAnsi="Times"/>
        </w:rPr>
        <w:t xml:space="preserve">SCD of pathways. </w:t>
      </w:r>
      <w:r>
        <w:rPr>
          <w:rStyle w:val="a7"/>
          <w:rFonts w:ascii="Times" w:hAnsi="Times"/>
          <w:b/>
          <w:bCs/>
        </w:rPr>
        <w:t>g,</w:t>
      </w:r>
      <w:r>
        <w:rPr>
          <w:rStyle w:val="a7"/>
          <w:rFonts w:ascii="Times" w:hAnsi="Times"/>
        </w:rPr>
        <w:t xml:space="preserve"> PCD of species. </w:t>
      </w:r>
      <w:r>
        <w:rPr>
          <w:rStyle w:val="a7"/>
          <w:rFonts w:ascii="Times" w:hAnsi="Times"/>
          <w:b/>
          <w:bCs/>
        </w:rPr>
        <w:t xml:space="preserve">h, </w:t>
      </w:r>
      <w:r>
        <w:rPr>
          <w:rStyle w:val="a7"/>
          <w:rFonts w:ascii="Times" w:hAnsi="Times"/>
        </w:rPr>
        <w:t>PCD of pathways.</w:t>
      </w:r>
    </w:p>
    <w:p w14:paraId="73036B8E" w14:textId="77777777" w:rsidR="000E5364" w:rsidRDefault="000E5364" w:rsidP="000E5364">
      <w:pPr>
        <w:pStyle w:val="Body"/>
        <w:spacing w:beforeLines="100" w:before="312" w:afterLines="100" w:after="312" w:line="480" w:lineRule="auto"/>
        <w:jc w:val="both"/>
        <w:rPr>
          <w:rStyle w:val="a7"/>
          <w:rFonts w:ascii="Times" w:eastAsiaTheme="minorEastAsia" w:hAnsi="Times" w:cs="Times"/>
        </w:rPr>
      </w:pPr>
      <w:r>
        <w:rPr>
          <w:rStyle w:val="a7"/>
          <w:rFonts w:ascii="Times" w:eastAsiaTheme="minorEastAsia" w:hAnsi="Times" w:cs="Times"/>
        </w:rPr>
        <w:object w:dxaOrig="7560" w:dyaOrig="6765" w14:anchorId="4E0CEEF4">
          <v:shape id="_x0000_i1028" type="#_x0000_t75" style="width:454.5pt;height:406.5pt" o:ole="">
            <v:imagedata r:id="rId12" o:title=""/>
          </v:shape>
          <o:OLEObject Type="Embed" ProgID="FoxitPhantom.Document" ShapeID="_x0000_i1028" DrawAspect="Content" ObjectID="_1643821776" r:id="rId13"/>
        </w:object>
      </w:r>
    </w:p>
    <w:p w14:paraId="65421E3F" w14:textId="77777777" w:rsidR="000E5364" w:rsidRPr="00434187" w:rsidRDefault="000E5364" w:rsidP="000E5364">
      <w:pPr>
        <w:pStyle w:val="Body"/>
        <w:spacing w:beforeLines="100" w:before="312" w:afterLines="100" w:after="312" w:line="480" w:lineRule="auto"/>
        <w:jc w:val="both"/>
        <w:rPr>
          <w:rStyle w:val="a7"/>
          <w:rFonts w:ascii="Times" w:eastAsiaTheme="minorEastAsia" w:hAnsi="Times" w:cs="Times"/>
        </w:rPr>
      </w:pPr>
    </w:p>
    <w:p w14:paraId="348F33E0"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 xml:space="preserve">Figure S5. Enterotype overview. a, </w:t>
      </w:r>
      <w:r>
        <w:rPr>
          <w:rStyle w:val="a7"/>
          <w:rFonts w:ascii="Times" w:hAnsi="Times"/>
        </w:rPr>
        <w:t xml:space="preserve">Colored scatter lines indicated combination of distances and clustering method, x-axis is optional enterotype number, y-axis is frequency of clustering-assessment indices voting for related enterotype number. </w:t>
      </w:r>
      <w:r>
        <w:rPr>
          <w:rStyle w:val="a7"/>
          <w:rFonts w:ascii="Times" w:hAnsi="Times"/>
          <w:b/>
          <w:bCs/>
        </w:rPr>
        <w:t xml:space="preserve">b,  </w:t>
      </w:r>
      <w:r>
        <w:rPr>
          <w:rStyle w:val="a7"/>
          <w:rFonts w:ascii="Times" w:hAnsi="Times"/>
        </w:rPr>
        <w:t>Principal coordinate analysis of spearman coefficient distance, colored shaped dot represented samples with TI-RADS grade and enterotype.</w:t>
      </w:r>
      <w:r>
        <w:rPr>
          <w:rStyle w:val="a7"/>
          <w:rFonts w:ascii="Times" w:hAnsi="Times"/>
          <w:b/>
          <w:bCs/>
        </w:rPr>
        <w:t xml:space="preserve"> c,</w:t>
      </w:r>
      <w:r>
        <w:rPr>
          <w:rStyle w:val="a7"/>
          <w:rFonts w:ascii="Times" w:hAnsi="Times"/>
        </w:rPr>
        <w:t xml:space="preserve"> Heatmap of microbiota species with most abundant relative abundance in each enterotype, color bars attached to phylogenetic trees (generated based on spearman </w:t>
      </w:r>
      <w:r>
        <w:rPr>
          <w:rStyle w:val="a7"/>
          <w:rFonts w:ascii="Times" w:hAnsi="Times"/>
        </w:rPr>
        <w:lastRenderedPageBreak/>
        <w:t>coefficient distance) represented species enriched in Enterotype 1 or Enterotype 2, top annotation color bars represented samples with TI-RADS level, enterotype and gender.</w:t>
      </w:r>
    </w:p>
    <w:p w14:paraId="74C5DBCF" w14:textId="77777777" w:rsidR="000E5364" w:rsidRPr="00434187" w:rsidRDefault="000E5364" w:rsidP="000E5364">
      <w:pPr>
        <w:pStyle w:val="Body"/>
        <w:spacing w:beforeLines="100" w:before="312" w:afterLines="100" w:after="312" w:line="480" w:lineRule="auto"/>
        <w:jc w:val="both"/>
        <w:rPr>
          <w:rStyle w:val="a7"/>
          <w:rFonts w:ascii="Times" w:eastAsiaTheme="minorEastAsia" w:hAnsi="Times" w:cs="Times"/>
        </w:rPr>
      </w:pPr>
      <w:r>
        <w:rPr>
          <w:rStyle w:val="a7"/>
          <w:rFonts w:ascii="Times" w:eastAsiaTheme="minorEastAsia" w:hAnsi="Times" w:cs="Times"/>
        </w:rPr>
        <w:object w:dxaOrig="9990" w:dyaOrig="10590" w14:anchorId="6137E01A">
          <v:shape id="_x0000_i1029" type="#_x0000_t75" style="width:455.25pt;height:503.25pt" o:ole="">
            <v:imagedata r:id="rId14" o:title=""/>
          </v:shape>
          <o:OLEObject Type="Embed" ProgID="FoxitPhantom.Document" ShapeID="_x0000_i1029" DrawAspect="Content" ObjectID="_1643821777" r:id="rId15"/>
        </w:object>
      </w:r>
    </w:p>
    <w:p w14:paraId="658E8052"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 xml:space="preserve">Figure S6. Sample characteristics associated with enterotypes. a, </w:t>
      </w:r>
      <w:r>
        <w:rPr>
          <w:rStyle w:val="a7"/>
          <w:rFonts w:ascii="Times" w:hAnsi="Times"/>
        </w:rPr>
        <w:t>Distribution of gender,  significance determined by fisher’s exact test.</w:t>
      </w:r>
      <w:r>
        <w:rPr>
          <w:rStyle w:val="a7"/>
          <w:rFonts w:ascii="Times" w:hAnsi="Times"/>
          <w:b/>
          <w:bCs/>
        </w:rPr>
        <w:t xml:space="preserve"> b,c,d,e</w:t>
      </w:r>
      <w:r>
        <w:rPr>
          <w:rStyle w:val="a7"/>
          <w:rFonts w:ascii="Times" w:hAnsi="Times"/>
        </w:rPr>
        <w:t>, Si</w:t>
      </w:r>
      <w:r>
        <w:rPr>
          <w:rStyle w:val="a7"/>
          <w:rFonts w:ascii="Times" w:hAnsi="Times"/>
          <w:lang w:val="it-IT"/>
        </w:rPr>
        <w:t xml:space="preserve">gnificance </w:t>
      </w:r>
      <w:r>
        <w:rPr>
          <w:rStyle w:val="a7"/>
          <w:rFonts w:ascii="Times" w:hAnsi="Times"/>
        </w:rPr>
        <w:t xml:space="preserve">in boxplots determined by single sided wilcox's rank sum test. </w:t>
      </w:r>
      <w:r>
        <w:rPr>
          <w:rStyle w:val="a7"/>
          <w:rFonts w:ascii="Times" w:hAnsi="Times"/>
          <w:b/>
          <w:bCs/>
        </w:rPr>
        <w:t xml:space="preserve">b, </w:t>
      </w:r>
      <w:r>
        <w:rPr>
          <w:rStyle w:val="a7"/>
          <w:rFonts w:ascii="Times" w:hAnsi="Times"/>
        </w:rPr>
        <w:t>Distribution of serum TSH level.</w:t>
      </w:r>
      <w:r>
        <w:rPr>
          <w:rStyle w:val="a7"/>
          <w:rFonts w:ascii="Times" w:hAnsi="Times"/>
          <w:b/>
          <w:bCs/>
        </w:rPr>
        <w:t xml:space="preserve">c, </w:t>
      </w:r>
      <w:r>
        <w:rPr>
          <w:rStyle w:val="a7"/>
          <w:rFonts w:ascii="Times" w:hAnsi="Times"/>
        </w:rPr>
        <w:t xml:space="preserve">Distribution of </w:t>
      </w:r>
      <w:r>
        <w:rPr>
          <w:rStyle w:val="a7"/>
          <w:rFonts w:ascii="Times" w:hAnsi="Times"/>
        </w:rPr>
        <w:lastRenderedPageBreak/>
        <w:t>shannon index.</w:t>
      </w:r>
      <w:r>
        <w:rPr>
          <w:rStyle w:val="a7"/>
          <w:rFonts w:ascii="Times" w:hAnsi="Times"/>
          <w:b/>
          <w:bCs/>
        </w:rPr>
        <w:t xml:space="preserve"> d, </w:t>
      </w:r>
      <w:r>
        <w:rPr>
          <w:rStyle w:val="a7"/>
          <w:rFonts w:ascii="Times" w:hAnsi="Times"/>
        </w:rPr>
        <w:t xml:space="preserve">Distribution of  simpson index. </w:t>
      </w:r>
      <w:r>
        <w:rPr>
          <w:rStyle w:val="a7"/>
          <w:rFonts w:ascii="Times" w:hAnsi="Times"/>
          <w:b/>
          <w:bCs/>
        </w:rPr>
        <w:t xml:space="preserve"> e, </w:t>
      </w:r>
      <w:r>
        <w:rPr>
          <w:rStyle w:val="a7"/>
          <w:rFonts w:ascii="Times" w:hAnsi="Times"/>
        </w:rPr>
        <w:t>Distribution of  number of observed species.</w:t>
      </w:r>
    </w:p>
    <w:p w14:paraId="26DDA7D3" w14:textId="77777777" w:rsidR="000E5364" w:rsidRDefault="000E5364" w:rsidP="000E5364">
      <w:pPr>
        <w:pStyle w:val="Body"/>
        <w:spacing w:beforeLines="100" w:before="312" w:afterLines="100" w:after="312" w:line="480" w:lineRule="auto"/>
        <w:jc w:val="both"/>
        <w:rPr>
          <w:rStyle w:val="a7"/>
          <w:rFonts w:ascii="Times" w:eastAsiaTheme="minorEastAsia" w:hAnsi="Times" w:cs="Times"/>
        </w:rPr>
      </w:pPr>
    </w:p>
    <w:p w14:paraId="207C21EC" w14:textId="77777777" w:rsidR="000E5364" w:rsidRPr="00434187" w:rsidRDefault="000E5364" w:rsidP="000E5364">
      <w:pPr>
        <w:pStyle w:val="Body"/>
        <w:spacing w:beforeLines="100" w:before="312" w:afterLines="100" w:after="312" w:line="480" w:lineRule="auto"/>
        <w:jc w:val="both"/>
        <w:rPr>
          <w:rStyle w:val="a7"/>
          <w:rFonts w:ascii="Times" w:eastAsiaTheme="minorEastAsia" w:hAnsi="Times" w:cs="Times"/>
        </w:rPr>
      </w:pPr>
      <w:r>
        <w:rPr>
          <w:rStyle w:val="a7"/>
          <w:rFonts w:ascii="Times" w:eastAsiaTheme="minorEastAsia" w:hAnsi="Times" w:cs="Times"/>
        </w:rPr>
        <w:object w:dxaOrig="12150" w:dyaOrig="6765" w14:anchorId="379D4101">
          <v:shape id="_x0000_i1030" type="#_x0000_t75" style="width:456.75pt;height:285.75pt" o:ole="">
            <v:imagedata r:id="rId16" o:title=""/>
          </v:shape>
          <o:OLEObject Type="Embed" ProgID="FoxitPhantom.Document" ShapeID="_x0000_i1030" DrawAspect="Content" ObjectID="_1643821778" r:id="rId17"/>
        </w:object>
      </w:r>
    </w:p>
    <w:p w14:paraId="552E0D29"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Figure S7. Number of Observed Speices associated with gender,BMI and age. a,</w:t>
      </w:r>
      <w:r>
        <w:rPr>
          <w:rStyle w:val="a7"/>
          <w:rFonts w:ascii="Times" w:hAnsi="Times"/>
        </w:rPr>
        <w:t xml:space="preserve">Distribution of OBS for female and male in each cohort, significance determined by single sided wilcox's rank sum test. </w:t>
      </w:r>
      <w:r>
        <w:rPr>
          <w:rStyle w:val="a7"/>
          <w:rFonts w:ascii="Times" w:hAnsi="Times"/>
          <w:b/>
          <w:bCs/>
        </w:rPr>
        <w:t xml:space="preserve">b,c,d,e, </w:t>
      </w:r>
      <w:r>
        <w:rPr>
          <w:rStyle w:val="a7"/>
          <w:rFonts w:ascii="Times" w:hAnsi="Times"/>
        </w:rPr>
        <w:t>scatter plots showing correlation between demographic characters and OBS in different TI-RADS,</w:t>
      </w:r>
      <w:r>
        <w:rPr>
          <w:rStyle w:val="a7"/>
          <w:rFonts w:ascii="Times" w:hAnsi="Times"/>
          <w:lang w:val="it-IT"/>
        </w:rPr>
        <w:t xml:space="preserve"> significance </w:t>
      </w:r>
      <w:r>
        <w:rPr>
          <w:rStyle w:val="a7"/>
          <w:rFonts w:ascii="Times" w:hAnsi="Times"/>
        </w:rPr>
        <w:t xml:space="preserve">and </w:t>
      </w:r>
      <w:r>
        <w:rPr>
          <w:rStyle w:val="a7"/>
          <w:rFonts w:ascii="Times" w:hAnsi="Times"/>
          <w:lang w:val="fr-FR"/>
        </w:rPr>
        <w:t>correlation</w:t>
      </w:r>
      <w:r>
        <w:rPr>
          <w:rStyle w:val="a7"/>
          <w:rFonts w:ascii="Times" w:hAnsi="Times"/>
        </w:rPr>
        <w:t xml:space="preserve"> coefficient determined by spearman’s </w:t>
      </w:r>
      <w:r>
        <w:rPr>
          <w:rStyle w:val="a7"/>
          <w:rFonts w:ascii="Times" w:hAnsi="Times"/>
          <w:i/>
          <w:iCs/>
        </w:rPr>
        <w:t>rho</w:t>
      </w:r>
      <w:r>
        <w:rPr>
          <w:rStyle w:val="a7"/>
          <w:rFonts w:ascii="Times" w:hAnsi="Times"/>
        </w:rPr>
        <w:t xml:space="preserve"> statistic. </w:t>
      </w:r>
      <w:r>
        <w:rPr>
          <w:rStyle w:val="a7"/>
          <w:rFonts w:ascii="Times" w:hAnsi="Times"/>
          <w:b/>
          <w:bCs/>
        </w:rPr>
        <w:t xml:space="preserve">(b) </w:t>
      </w:r>
      <w:r>
        <w:rPr>
          <w:rStyle w:val="a7"/>
          <w:rFonts w:ascii="Times" w:hAnsi="Times"/>
        </w:rPr>
        <w:t>Correlation with BMI in female.</w:t>
      </w:r>
      <w:r>
        <w:rPr>
          <w:rStyle w:val="a7"/>
          <w:rFonts w:ascii="Times" w:hAnsi="Times"/>
          <w:b/>
          <w:bCs/>
        </w:rPr>
        <w:t xml:space="preserve"> (c) </w:t>
      </w:r>
      <w:r>
        <w:rPr>
          <w:rStyle w:val="a7"/>
          <w:rFonts w:ascii="Times" w:hAnsi="Times"/>
        </w:rPr>
        <w:t>Correlation with age in female.</w:t>
      </w:r>
      <w:r>
        <w:rPr>
          <w:rStyle w:val="a7"/>
          <w:rFonts w:ascii="Times" w:hAnsi="Times"/>
          <w:b/>
          <w:bCs/>
        </w:rPr>
        <w:t xml:space="preserve"> (d) </w:t>
      </w:r>
      <w:r>
        <w:rPr>
          <w:rStyle w:val="a7"/>
          <w:rFonts w:ascii="Times" w:hAnsi="Times"/>
        </w:rPr>
        <w:t>Correlation with BMI in m</w:t>
      </w:r>
      <w:r>
        <w:rPr>
          <w:rStyle w:val="a7"/>
          <w:rFonts w:ascii="Times" w:hAnsi="Times"/>
          <w:lang w:val="it-IT"/>
        </w:rPr>
        <w:t xml:space="preserve">ale. </w:t>
      </w:r>
      <w:r>
        <w:rPr>
          <w:rStyle w:val="a7"/>
          <w:rFonts w:ascii="Times" w:hAnsi="Times"/>
          <w:b/>
          <w:bCs/>
        </w:rPr>
        <w:t xml:space="preserve">(e) </w:t>
      </w:r>
      <w:r>
        <w:rPr>
          <w:rStyle w:val="a7"/>
          <w:rFonts w:ascii="Times" w:hAnsi="Times"/>
        </w:rPr>
        <w:t xml:space="preserve">Correlation with age </w:t>
      </w:r>
      <w:r>
        <w:rPr>
          <w:rStyle w:val="a7"/>
          <w:rFonts w:ascii="Times" w:hAnsi="Times"/>
          <w:lang w:val="it-IT"/>
        </w:rPr>
        <w:t>in male.</w:t>
      </w:r>
    </w:p>
    <w:p w14:paraId="62BBC119" w14:textId="77777777" w:rsidR="000E5364" w:rsidRPr="00434187" w:rsidRDefault="000E5364" w:rsidP="000E5364">
      <w:pPr>
        <w:pStyle w:val="Body"/>
        <w:spacing w:beforeLines="100" w:before="312" w:afterLines="100" w:after="312" w:line="480" w:lineRule="auto"/>
        <w:jc w:val="both"/>
        <w:rPr>
          <w:rStyle w:val="a7"/>
          <w:rFonts w:ascii="Times" w:eastAsiaTheme="minorEastAsia" w:hAnsi="Times" w:cs="Times"/>
        </w:rPr>
      </w:pPr>
      <w:r>
        <w:rPr>
          <w:rStyle w:val="a7"/>
          <w:rFonts w:ascii="Times" w:eastAsiaTheme="minorEastAsia" w:hAnsi="Times" w:cs="Times"/>
        </w:rPr>
        <w:object w:dxaOrig="9825" w:dyaOrig="10050" w14:anchorId="26D38AFF">
          <v:shape id="_x0000_i1031" type="#_x0000_t75" style="width:456pt;height:495.75pt" o:ole="">
            <v:imagedata r:id="rId18" o:title=""/>
          </v:shape>
          <o:OLEObject Type="Embed" ProgID="FoxitPhantom.Document" ShapeID="_x0000_i1031" DrawAspect="Content" ObjectID="_1643821779" r:id="rId19"/>
        </w:object>
      </w:r>
    </w:p>
    <w:p w14:paraId="57EBC8CD" w14:textId="77777777" w:rsidR="000E5364" w:rsidRDefault="000E5364" w:rsidP="000E5364">
      <w:pPr>
        <w:spacing w:beforeLines="100" w:before="312" w:afterLines="100" w:after="312" w:line="480" w:lineRule="auto"/>
        <w:jc w:val="both"/>
        <w:rPr>
          <w:rStyle w:val="a7"/>
        </w:rPr>
      </w:pPr>
      <w:r>
        <w:rPr>
          <w:rStyle w:val="a7"/>
          <w:b/>
          <w:bCs/>
        </w:rPr>
        <w:t>Figure S</w:t>
      </w:r>
      <w:r w:rsidRPr="00195B65">
        <w:rPr>
          <w:rStyle w:val="a7"/>
          <w:b/>
          <w:bCs/>
        </w:rPr>
        <w:t xml:space="preserve">8. Resaming of age-, gender- and BMI-matched Control and TN2 subsets. a, </w:t>
      </w:r>
      <w:r w:rsidRPr="00195B65">
        <w:rPr>
          <w:rStyle w:val="a7"/>
        </w:rPr>
        <w:t>Distribution of OBS for TI-RADS in female (left panel) and male (right panel)</w:t>
      </w:r>
      <w:r w:rsidRPr="00195B65">
        <w:rPr>
          <w:rStyle w:val="a7"/>
          <w:lang w:val="zh-TW" w:eastAsia="zh-TW"/>
        </w:rPr>
        <w:t>，</w:t>
      </w:r>
      <w:r w:rsidRPr="00195B65">
        <w:rPr>
          <w:rStyle w:val="a7"/>
        </w:rPr>
        <w:t>significance determined by single sided W</w:t>
      </w:r>
      <w:r w:rsidRPr="00195B65">
        <w:rPr>
          <w:rStyle w:val="a7"/>
          <w:lang w:val="it-IT"/>
        </w:rPr>
        <w:t>ilcox</w:t>
      </w:r>
      <w:r w:rsidRPr="00195B65">
        <w:rPr>
          <w:rStyle w:val="a7"/>
        </w:rPr>
        <w:t xml:space="preserve">on rank sum test. </w:t>
      </w:r>
      <w:r w:rsidRPr="00195B65">
        <w:rPr>
          <w:rStyle w:val="a7"/>
          <w:b/>
          <w:bCs/>
        </w:rPr>
        <w:t xml:space="preserve">b, </w:t>
      </w:r>
      <w:r w:rsidRPr="00195B65">
        <w:rPr>
          <w:rStyle w:val="a7"/>
        </w:rPr>
        <w:t xml:space="preserve">Distribution of p value generated by resampling process (student’s t test, p &gt; 0.4) in control and TN2 compared with TN4, significance of age and BMI were determined by two sided student’s t test, gender was determined by fisher’s exact test. </w:t>
      </w:r>
      <w:r w:rsidRPr="00195B65">
        <w:rPr>
          <w:rStyle w:val="a7"/>
          <w:b/>
          <w:bCs/>
        </w:rPr>
        <w:t>c,</w:t>
      </w:r>
      <w:r w:rsidRPr="00195B65">
        <w:rPr>
          <w:rStyle w:val="a7"/>
        </w:rPr>
        <w:t xml:space="preserve">P value of OBS </w:t>
      </w:r>
      <w:r w:rsidRPr="00195B65">
        <w:rPr>
          <w:rStyle w:val="a7"/>
        </w:rPr>
        <w:lastRenderedPageBreak/>
        <w:t xml:space="preserve">comparison between TN4 and sampled control and TN2, </w:t>
      </w:r>
      <w:r w:rsidRPr="00195B65">
        <w:rPr>
          <w:rStyle w:val="a7"/>
          <w:lang w:val="pt-PT"/>
        </w:rPr>
        <w:t>significance</w:t>
      </w:r>
      <w:r w:rsidRPr="00195B65">
        <w:rPr>
          <w:rStyle w:val="a7"/>
        </w:rPr>
        <w:t xml:space="preserve"> determined by single sided wilcox's rank sum test.</w:t>
      </w:r>
    </w:p>
    <w:p w14:paraId="0B834FD2" w14:textId="77777777" w:rsidR="000E5364" w:rsidRPr="00195B65" w:rsidRDefault="000E5364" w:rsidP="000E5364">
      <w:pPr>
        <w:pStyle w:val="Default"/>
        <w:spacing w:beforeLines="100" w:before="312" w:afterLines="100" w:after="312" w:line="480" w:lineRule="auto"/>
        <w:jc w:val="both"/>
        <w:rPr>
          <w:rStyle w:val="a7"/>
          <w:rFonts w:ascii="Times New Roman" w:eastAsia="Times" w:hAnsi="Times New Roman" w:cs="Times New Roman"/>
        </w:rPr>
      </w:pPr>
      <w:r>
        <w:rPr>
          <w:rStyle w:val="a7"/>
          <w:rFonts w:ascii="Times New Roman" w:eastAsia="Times" w:hAnsi="Times New Roman" w:cs="Times New Roman"/>
        </w:rPr>
        <w:object w:dxaOrig="8865" w:dyaOrig="8715" w14:anchorId="1C8824FE">
          <v:shape id="_x0000_i1032" type="#_x0000_t75" style="width:452.25pt;height:444.75pt" o:ole="">
            <v:imagedata r:id="rId20" o:title=""/>
          </v:shape>
          <o:OLEObject Type="Embed" ProgID="FoxitPhantom.Document" ShapeID="_x0000_i1032" DrawAspect="Content" ObjectID="_1643821780" r:id="rId21"/>
        </w:object>
      </w:r>
    </w:p>
    <w:p w14:paraId="4799DB9E" w14:textId="77777777" w:rsidR="000E5364" w:rsidRDefault="000E5364" w:rsidP="000E5364">
      <w:pPr>
        <w:pStyle w:val="Body"/>
        <w:spacing w:beforeLines="100" w:before="312" w:afterLines="100" w:after="312" w:line="480" w:lineRule="auto"/>
        <w:jc w:val="both"/>
        <w:rPr>
          <w:rStyle w:val="a7"/>
          <w:rFonts w:ascii="Times" w:eastAsia="Times" w:hAnsi="Times" w:cs="Times"/>
        </w:rPr>
      </w:pPr>
    </w:p>
    <w:p w14:paraId="748B1C4E"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Figure S9. Distribution of OBS in male TN with and without unltrasonic echo</w:t>
      </w:r>
      <w:r>
        <w:rPr>
          <w:rStyle w:val="a7"/>
          <w:rFonts w:ascii="Times" w:hAnsi="Times"/>
        </w:rPr>
        <w:t xml:space="preserve">, </w:t>
      </w:r>
      <w:r>
        <w:rPr>
          <w:rStyle w:val="a7"/>
          <w:rFonts w:ascii="Times" w:hAnsi="Times"/>
          <w:lang w:val="pt-PT"/>
        </w:rPr>
        <w:t>significance</w:t>
      </w:r>
      <w:r>
        <w:rPr>
          <w:rStyle w:val="a7"/>
          <w:rFonts w:ascii="Times" w:hAnsi="Times"/>
        </w:rPr>
        <w:t xml:space="preserve"> determined by single sided wilcox's rank sum test.</w:t>
      </w:r>
    </w:p>
    <w:p w14:paraId="17C9C95C" w14:textId="77777777" w:rsidR="000E5364" w:rsidRDefault="000E5364" w:rsidP="000E5364">
      <w:pPr>
        <w:pStyle w:val="Body"/>
        <w:spacing w:beforeLines="100" w:before="312" w:afterLines="100" w:after="312" w:line="480" w:lineRule="auto"/>
        <w:jc w:val="center"/>
        <w:rPr>
          <w:rStyle w:val="a7"/>
          <w:rFonts w:ascii="Times" w:eastAsiaTheme="minorEastAsia" w:hAnsi="Times" w:cs="Times"/>
        </w:rPr>
      </w:pPr>
      <w:r>
        <w:rPr>
          <w:rStyle w:val="a7"/>
          <w:rFonts w:ascii="Times" w:eastAsia="Times" w:hAnsi="Times" w:cs="Times"/>
        </w:rPr>
        <w:object w:dxaOrig="7560" w:dyaOrig="6765" w14:anchorId="2DFFDB46">
          <v:shape id="_x0000_i1033" type="#_x0000_t75" style="width:385.5pt;height:345pt" o:ole="">
            <v:imagedata r:id="rId22" o:title=""/>
          </v:shape>
          <o:OLEObject Type="Embed" ProgID="FoxitPhantom.Document" ShapeID="_x0000_i1033" DrawAspect="Content" ObjectID="_1643821781" r:id="rId23"/>
        </w:object>
      </w:r>
    </w:p>
    <w:p w14:paraId="333E8CFD" w14:textId="77777777" w:rsidR="000E5364" w:rsidRPr="00195B65" w:rsidRDefault="000E5364" w:rsidP="000E5364">
      <w:pPr>
        <w:pStyle w:val="Body"/>
        <w:spacing w:beforeLines="100" w:before="312" w:afterLines="100" w:after="312" w:line="480" w:lineRule="auto"/>
        <w:jc w:val="center"/>
        <w:rPr>
          <w:rStyle w:val="a7"/>
          <w:rFonts w:ascii="Times" w:eastAsiaTheme="minorEastAsia" w:hAnsi="Times" w:cs="Times"/>
        </w:rPr>
      </w:pPr>
    </w:p>
    <w:p w14:paraId="01B39317"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 xml:space="preserve">Figure S10. TN associated unadjusted and adjusted microbiota features. a, </w:t>
      </w:r>
      <w:r>
        <w:rPr>
          <w:rStyle w:val="a7"/>
          <w:rFonts w:ascii="Times" w:hAnsi="Times"/>
        </w:rPr>
        <w:t xml:space="preserve">Barplot of unadjusted (top panel, p &lt; 0.05, single sided Wilcoxon rank sum test) and adjusted (bottom panel, method) metabolic pathways and species associated with TN, bar length represented fold change (FC) of relative abundance. Microbiota features enriched in LTN had negative FC value (green) and  featured enriched in HTN had positive FC value (red). </w:t>
      </w:r>
      <w:r>
        <w:rPr>
          <w:rStyle w:val="a7"/>
          <w:rFonts w:ascii="Times" w:hAnsi="Times"/>
          <w:b/>
          <w:bCs/>
        </w:rPr>
        <w:t xml:space="preserve">b, </w:t>
      </w:r>
      <w:r>
        <w:rPr>
          <w:rStyle w:val="a7"/>
          <w:rFonts w:ascii="Times" w:hAnsi="Times"/>
        </w:rPr>
        <w:t>Number and related portion of microbiota features associated with HTN group.</w:t>
      </w:r>
    </w:p>
    <w:p w14:paraId="611E9047"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eastAsia="Times" w:hAnsi="Times" w:cs="Times"/>
        </w:rPr>
        <w:object w:dxaOrig="9150" w:dyaOrig="12540" w14:anchorId="4B8BCC58">
          <v:shape id="_x0000_i1034" type="#_x0000_t75" style="width:457.5pt;height:627pt" o:ole="">
            <v:imagedata r:id="rId24" o:title=""/>
          </v:shape>
          <o:OLEObject Type="Embed" ProgID="FoxitPhantom.Document" ShapeID="_x0000_i1034" DrawAspect="Content" ObjectID="_1643821782" r:id="rId25"/>
        </w:object>
      </w:r>
    </w:p>
    <w:p w14:paraId="6C91D31A"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lastRenderedPageBreak/>
        <w:t xml:space="preserve">Figure S11. Butyrate formation metabolic pathways. a, </w:t>
      </w:r>
      <w:r>
        <w:rPr>
          <w:rStyle w:val="a7"/>
          <w:rFonts w:ascii="Times" w:hAnsi="Times"/>
        </w:rPr>
        <w:t xml:space="preserve">Boxolots showing distribution of butyrate formation pathways relative abundance in LTN (left panel) and HTN (right panel), x axis indicated number of samples detected with related pathways. </w:t>
      </w:r>
      <w:r>
        <w:rPr>
          <w:rStyle w:val="a7"/>
          <w:rFonts w:ascii="Times" w:hAnsi="Times"/>
          <w:b/>
          <w:bCs/>
        </w:rPr>
        <w:t xml:space="preserve">b, </w:t>
      </w:r>
      <w:r>
        <w:rPr>
          <w:rStyle w:val="a7"/>
          <w:rFonts w:ascii="Times" w:hAnsi="Times"/>
        </w:rPr>
        <w:t>Colors in pieplot indicated mean relative abundance of pathways enriched in LTN (blue), HTN(red) or without significance (grey).</w:t>
      </w:r>
    </w:p>
    <w:p w14:paraId="315C7F16"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eastAsia="Times" w:hAnsi="Times" w:cs="Times"/>
        </w:rPr>
        <w:object w:dxaOrig="9075" w:dyaOrig="5520" w14:anchorId="4D2B237C">
          <v:shape id="_x0000_i1035" type="#_x0000_t75" style="width:453.75pt;height:276pt" o:ole="">
            <v:imagedata r:id="rId26" o:title=""/>
          </v:shape>
          <o:OLEObject Type="Embed" ProgID="FoxitPhantom.Document" ShapeID="_x0000_i1035" DrawAspect="Content" ObjectID="_1643821783" r:id="rId27"/>
        </w:object>
      </w:r>
    </w:p>
    <w:p w14:paraId="44844589"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 xml:space="preserve">Figure S12. </w:t>
      </w:r>
      <w:r>
        <w:rPr>
          <w:rStyle w:val="a7"/>
          <w:rFonts w:ascii="Times" w:hAnsi="Times"/>
        </w:rPr>
        <w:t xml:space="preserve"> </w:t>
      </w:r>
      <w:r>
        <w:rPr>
          <w:rStyle w:val="a7"/>
          <w:rFonts w:ascii="Times" w:hAnsi="Times"/>
          <w:b/>
          <w:bCs/>
        </w:rPr>
        <w:t xml:space="preserve">PWY-5676 associated species. </w:t>
      </w:r>
      <w:r>
        <w:rPr>
          <w:rStyle w:val="a7"/>
          <w:rFonts w:ascii="Times" w:hAnsi="Times"/>
        </w:rPr>
        <w:t xml:space="preserve">Network graph showing associations between species and PWY-5676 (spearman coefficient is no less than 0.2), node size and line with were proportional to species relative abundance and spearman coefficient.  </w:t>
      </w:r>
    </w:p>
    <w:p w14:paraId="216C6ABE" w14:textId="77777777" w:rsidR="000E5364" w:rsidRDefault="000E5364" w:rsidP="000E5364">
      <w:pPr>
        <w:pStyle w:val="Body"/>
        <w:spacing w:beforeLines="100" w:before="312" w:afterLines="100" w:after="312" w:line="480" w:lineRule="auto"/>
        <w:jc w:val="center"/>
        <w:rPr>
          <w:rStyle w:val="a7"/>
          <w:rFonts w:ascii="Times" w:eastAsiaTheme="minorEastAsia" w:hAnsi="Times" w:cs="Times"/>
        </w:rPr>
      </w:pPr>
      <w:r>
        <w:rPr>
          <w:rStyle w:val="a7"/>
          <w:rFonts w:ascii="Times" w:eastAsia="Times" w:hAnsi="Times" w:cs="Times"/>
        </w:rPr>
        <w:object w:dxaOrig="7695" w:dyaOrig="6255" w14:anchorId="0AFD2BE2">
          <v:shape id="_x0000_i1036" type="#_x0000_t75" style="width:332.25pt;height:270pt" o:ole="">
            <v:imagedata r:id="rId28" o:title=""/>
          </v:shape>
          <o:OLEObject Type="Embed" ProgID="FoxitPhantom.Document" ShapeID="_x0000_i1036" DrawAspect="Content" ObjectID="_1643821784" r:id="rId29"/>
        </w:object>
      </w:r>
    </w:p>
    <w:p w14:paraId="5747C9EC" w14:textId="77777777" w:rsidR="000E5364" w:rsidRPr="00195B65" w:rsidRDefault="000E5364" w:rsidP="000E5364">
      <w:pPr>
        <w:pStyle w:val="Body"/>
        <w:spacing w:beforeLines="100" w:before="312" w:afterLines="100" w:after="312" w:line="480" w:lineRule="auto"/>
        <w:jc w:val="center"/>
        <w:rPr>
          <w:rStyle w:val="a7"/>
          <w:rFonts w:ascii="Times" w:eastAsiaTheme="minorEastAsia" w:hAnsi="Times" w:cs="Times"/>
        </w:rPr>
      </w:pPr>
    </w:p>
    <w:p w14:paraId="781A46D6"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Figure S13. Distribution of particular species in LTN and HTN</w:t>
      </w:r>
      <w:r>
        <w:rPr>
          <w:rStyle w:val="a7"/>
          <w:rFonts w:ascii="Times" w:hAnsi="Times"/>
        </w:rPr>
        <w:t xml:space="preserve">. Significance determined by using  single sided wilcoxon's rank sum test, also and covariates (BMI and age) adjusted pvalue via multiple linear regression. left panel is distribution in female, right panel is male. </w:t>
      </w:r>
      <w:r>
        <w:rPr>
          <w:rStyle w:val="a7"/>
          <w:rFonts w:ascii="Times" w:hAnsi="Times"/>
          <w:b/>
          <w:bCs/>
        </w:rPr>
        <w:t>a,</w:t>
      </w:r>
      <w:r>
        <w:rPr>
          <w:rStyle w:val="a7"/>
          <w:rFonts w:ascii="Times" w:hAnsi="Times"/>
          <w:b/>
          <w:bCs/>
          <w:i/>
          <w:iCs/>
        </w:rPr>
        <w:t xml:space="preserve"> </w:t>
      </w:r>
      <w:r>
        <w:rPr>
          <w:rStyle w:val="a7"/>
          <w:rFonts w:ascii="Times" w:hAnsi="Times"/>
          <w:i/>
          <w:iCs/>
        </w:rPr>
        <w:t>Bacteroides plebes.</w:t>
      </w:r>
      <w:r>
        <w:rPr>
          <w:rStyle w:val="a7"/>
          <w:rFonts w:ascii="Times" w:hAnsi="Times"/>
        </w:rPr>
        <w:t xml:space="preserve"> X-axis is LTN and HTN. </w:t>
      </w:r>
      <w:r>
        <w:rPr>
          <w:rStyle w:val="a7"/>
          <w:rFonts w:ascii="Times" w:hAnsi="Times"/>
          <w:b/>
          <w:bCs/>
        </w:rPr>
        <w:t xml:space="preserve">b, </w:t>
      </w:r>
      <w:r>
        <w:rPr>
          <w:rStyle w:val="a7"/>
          <w:rFonts w:ascii="Times" w:hAnsi="Times"/>
          <w:i/>
          <w:iCs/>
        </w:rPr>
        <w:t xml:space="preserve">Bifidobacterium longum. </w:t>
      </w:r>
      <w:r>
        <w:rPr>
          <w:rStyle w:val="a7"/>
          <w:rFonts w:ascii="Times" w:hAnsi="Times"/>
        </w:rPr>
        <w:t>X-axis is Control-TN2-TN3 and TN4.</w:t>
      </w:r>
    </w:p>
    <w:p w14:paraId="231C735C" w14:textId="77777777" w:rsidR="000E5364" w:rsidRPr="00195B65" w:rsidRDefault="000E5364" w:rsidP="000E5364">
      <w:pPr>
        <w:pStyle w:val="Body"/>
        <w:spacing w:beforeLines="100" w:before="312" w:afterLines="100" w:after="312" w:line="480" w:lineRule="auto"/>
        <w:jc w:val="both"/>
        <w:rPr>
          <w:rStyle w:val="a7"/>
          <w:rFonts w:ascii="Times" w:eastAsiaTheme="minorEastAsia" w:hAnsi="Times" w:cs="Times"/>
          <w:b/>
          <w:bCs/>
        </w:rPr>
      </w:pPr>
      <w:r>
        <w:rPr>
          <w:rStyle w:val="a7"/>
          <w:rFonts w:ascii="Times" w:eastAsiaTheme="minorEastAsia" w:hAnsi="Times" w:cs="Times"/>
          <w:b/>
          <w:bCs/>
        </w:rPr>
        <w:object w:dxaOrig="12435" w:dyaOrig="7065" w14:anchorId="2D893CCB">
          <v:shape id="_x0000_i1037" type="#_x0000_t75" style="width:459.75pt;height:262.5pt" o:ole="">
            <v:imagedata r:id="rId30" o:title=""/>
          </v:shape>
          <o:OLEObject Type="Embed" ProgID="FoxitPhantom.Document" ShapeID="_x0000_i1037" DrawAspect="Content" ObjectID="_1643821785" r:id="rId31"/>
        </w:object>
      </w:r>
    </w:p>
    <w:p w14:paraId="15824E64"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 xml:space="preserve">Figure S14. Discriminative models construction flow. </w:t>
      </w:r>
      <w:r>
        <w:rPr>
          <w:rStyle w:val="a7"/>
          <w:rFonts w:ascii="Times" w:hAnsi="Times"/>
        </w:rPr>
        <w:t>The whole process included data preprocessing, feature selection, and disease prediction, data preprocessing used data standardization method, feature selection used filter method, wrapper method, and embedded method, disease prediction used a gradient boosting machine to train, test and verify the prediction model.</w:t>
      </w:r>
    </w:p>
    <w:p w14:paraId="43060E1F" w14:textId="77777777" w:rsidR="000E5364" w:rsidRDefault="000E5364" w:rsidP="000E5364">
      <w:pPr>
        <w:pStyle w:val="Body"/>
        <w:spacing w:beforeLines="100" w:before="312" w:afterLines="100" w:after="312" w:line="480" w:lineRule="auto"/>
        <w:jc w:val="center"/>
        <w:rPr>
          <w:rFonts w:asciiTheme="minorHAnsi" w:eastAsiaTheme="minorEastAsia" w:hAnsiTheme="minorHAnsi" w:cstheme="minorBidi"/>
          <w:sz w:val="21"/>
        </w:rPr>
      </w:pPr>
      <w:r>
        <w:rPr>
          <w:rFonts w:asciiTheme="minorHAnsi" w:eastAsiaTheme="minorEastAsia" w:hAnsiTheme="minorHAnsi" w:cstheme="minorBidi"/>
          <w:sz w:val="21"/>
        </w:rPr>
        <w:object w:dxaOrig="7635" w:dyaOrig="7110" w14:anchorId="04EDFA5C">
          <v:shape id="_x0000_i1038" type="#_x0000_t75" style="width:381.75pt;height:297.75pt" o:ole="">
            <v:imagedata r:id="rId32" o:title=""/>
          </v:shape>
          <o:OLEObject Type="Embed" ProgID="Visio.Drawing.11" ShapeID="_x0000_i1038" DrawAspect="Content" ObjectID="_1643821786" r:id="rId33"/>
        </w:object>
      </w:r>
    </w:p>
    <w:p w14:paraId="5A589327" w14:textId="77777777" w:rsidR="000E5364" w:rsidRDefault="000E5364" w:rsidP="000E5364">
      <w:pPr>
        <w:pStyle w:val="Body"/>
        <w:spacing w:beforeLines="100" w:before="312" w:afterLines="100" w:after="312" w:line="480" w:lineRule="auto"/>
        <w:jc w:val="center"/>
        <w:rPr>
          <w:rStyle w:val="a7"/>
          <w:rFonts w:ascii="Times" w:eastAsia="Times" w:hAnsi="Times" w:cs="Times"/>
        </w:rPr>
      </w:pPr>
    </w:p>
    <w:p w14:paraId="13121B7C" w14:textId="77777777" w:rsidR="000E5364" w:rsidRDefault="000E5364" w:rsidP="000E5364">
      <w:pPr>
        <w:pStyle w:val="Body"/>
        <w:spacing w:beforeLines="100" w:before="312" w:afterLines="100" w:after="312" w:line="480" w:lineRule="auto"/>
        <w:jc w:val="both"/>
        <w:rPr>
          <w:rStyle w:val="a7"/>
          <w:rFonts w:ascii="Times" w:eastAsia="Times" w:hAnsi="Times" w:cs="Times"/>
          <w:b/>
          <w:bCs/>
        </w:rPr>
      </w:pPr>
      <w:r>
        <w:rPr>
          <w:rStyle w:val="a7"/>
          <w:rFonts w:ascii="Times" w:hAnsi="Times"/>
          <w:b/>
          <w:bCs/>
        </w:rPr>
        <w:t xml:space="preserve">Figure S15. Models assessment. </w:t>
      </w:r>
      <w:r>
        <w:rPr>
          <w:rStyle w:val="a7"/>
          <w:rFonts w:ascii="Times" w:hAnsi="Times"/>
        </w:rPr>
        <w:t>a, The selection of optimal feature subset using backward elimination method with random forest, x-axis is feature number from 80 to 120, y-axis is model accuracy, and the optimal feature number is 104 and 106. b, The association of top-5 minimum errors, AUC and accuracy values using gradient boosting machine, x-axis is the corresponding AUC and accuracy for test data, y-axis is the top-5 minimum errors for train data, and the highest AUC and accuracy are 0.734 and 0.697 when the error is equal to 1.0688.</w:t>
      </w:r>
    </w:p>
    <w:p w14:paraId="308377AB" w14:textId="77777777" w:rsidR="000E5364" w:rsidRDefault="000E5364" w:rsidP="000E5364">
      <w:pPr>
        <w:pStyle w:val="Body"/>
        <w:spacing w:beforeLines="100" w:before="312" w:afterLines="100" w:after="312" w:line="480" w:lineRule="auto"/>
        <w:jc w:val="both"/>
        <w:rPr>
          <w:rStyle w:val="a7"/>
          <w:rFonts w:ascii="Times" w:eastAsia="Times" w:hAnsi="Times" w:cs="Times"/>
          <w:b/>
          <w:bCs/>
        </w:rPr>
      </w:pPr>
      <w:r>
        <w:rPr>
          <w:rStyle w:val="a7"/>
          <w:rFonts w:ascii="Times" w:hAnsi="Times"/>
        </w:rPr>
        <w:t>n bootstrapped resampling, dash line indicated mean generalized AUC.</w:t>
      </w:r>
    </w:p>
    <w:p w14:paraId="3E92B2CA" w14:textId="77777777" w:rsidR="000E5364" w:rsidRPr="00BB09E8" w:rsidRDefault="000E5364" w:rsidP="000E5364">
      <w:pPr>
        <w:spacing w:beforeLines="100" w:before="312" w:afterLines="100" w:after="312"/>
        <w:rPr>
          <w:color w:val="FF0000"/>
          <w:lang w:val="en-US"/>
        </w:rPr>
      </w:pPr>
      <w:r>
        <w:rPr>
          <w:color w:val="FF0000"/>
          <w:lang w:val="en-US"/>
        </w:rPr>
        <w:object w:dxaOrig="9210" w:dyaOrig="12510" w14:anchorId="3F7B6F4E">
          <v:shape id="_x0000_i1053" type="#_x0000_t75" style="width:461.25pt;height:663.75pt" o:ole="">
            <v:imagedata r:id="rId34" o:title=""/>
          </v:shape>
          <o:OLEObject Type="Embed" ProgID="FoxitPhantom.Document" ShapeID="_x0000_i1053" DrawAspect="Content" ObjectID="_1643821787" r:id="rId35"/>
        </w:object>
      </w:r>
    </w:p>
    <w:p w14:paraId="1CE1B6CB" w14:textId="77777777" w:rsidR="000E5364" w:rsidRDefault="000E5364" w:rsidP="000E5364">
      <w:pPr>
        <w:spacing w:beforeLines="100" w:before="312" w:afterLines="100" w:after="312"/>
        <w:rPr>
          <w:rFonts w:eastAsiaTheme="minorEastAsia"/>
          <w:lang w:val="en-US" w:eastAsia="zh-CN"/>
        </w:rPr>
      </w:pPr>
      <w:r w:rsidRPr="00F536EC">
        <w:rPr>
          <w:lang w:val="en-US"/>
        </w:rPr>
        <w:lastRenderedPageBreak/>
        <w:br w:type="page"/>
      </w:r>
    </w:p>
    <w:p w14:paraId="1A2E4132" w14:textId="77777777" w:rsidR="000E5364" w:rsidRDefault="000E5364" w:rsidP="000E5364">
      <w:pPr>
        <w:pStyle w:val="Body"/>
        <w:spacing w:beforeLines="100" w:before="312" w:afterLines="100" w:after="312" w:line="480" w:lineRule="auto"/>
        <w:jc w:val="both"/>
        <w:rPr>
          <w:rStyle w:val="a7"/>
          <w:rFonts w:ascii="Times" w:hAnsi="Times"/>
          <w:b/>
          <w:bCs/>
        </w:rPr>
      </w:pPr>
    </w:p>
    <w:p w14:paraId="7B87DE85" w14:textId="77777777" w:rsidR="000E5364" w:rsidRDefault="000E5364" w:rsidP="000E5364">
      <w:pPr>
        <w:pStyle w:val="Body"/>
        <w:spacing w:beforeLines="100" w:before="312" w:afterLines="100" w:after="312" w:line="480" w:lineRule="auto"/>
        <w:jc w:val="both"/>
        <w:rPr>
          <w:rStyle w:val="a7"/>
          <w:rFonts w:ascii="Times" w:eastAsia="Times" w:hAnsi="Times" w:cs="Times"/>
          <w:b/>
          <w:bCs/>
        </w:rPr>
      </w:pPr>
      <w:r>
        <w:rPr>
          <w:rStyle w:val="a7"/>
          <w:rFonts w:ascii="Times" w:eastAsia="Times" w:hAnsi="Times" w:cs="Times"/>
          <w:b/>
          <w:bCs/>
        </w:rPr>
        <w:object w:dxaOrig="9135" w:dyaOrig="4485" w14:anchorId="7D69DC46">
          <v:shape id="_x0000_i1054" type="#_x0000_t75" style="width:444pt;height:218.25pt" o:ole="">
            <v:imagedata r:id="rId36" o:title=""/>
          </v:shape>
          <o:OLEObject Type="Embed" ProgID="FoxitPhantom.Document" ShapeID="_x0000_i1054" DrawAspect="Content" ObjectID="_1643821788" r:id="rId37"/>
        </w:object>
      </w:r>
    </w:p>
    <w:p w14:paraId="26709FD6" w14:textId="77777777" w:rsidR="000E5364" w:rsidRDefault="000E5364" w:rsidP="000E5364">
      <w:pPr>
        <w:pStyle w:val="Body"/>
        <w:spacing w:beforeLines="100" w:before="312" w:afterLines="100" w:after="312" w:line="480" w:lineRule="auto"/>
        <w:jc w:val="both"/>
        <w:rPr>
          <w:rStyle w:val="a7"/>
          <w:rFonts w:ascii="Times" w:eastAsia="Times" w:hAnsi="Times" w:cs="Times"/>
        </w:rPr>
      </w:pPr>
      <w:r>
        <w:rPr>
          <w:rStyle w:val="a7"/>
          <w:rFonts w:ascii="Times" w:hAnsi="Times"/>
          <w:b/>
          <w:bCs/>
        </w:rPr>
        <w:t xml:space="preserve">Figure S16. The test pathway of variable significance among the groups. </w:t>
      </w:r>
      <w:r>
        <w:rPr>
          <w:rStyle w:val="a7"/>
          <w:rFonts w:ascii="Times" w:hAnsi="Times"/>
        </w:rPr>
        <w:t>Categorical variables were tested using a chi-square test. Continuous variables were tested using one way ANONA and normality test, then homogeneity test, and finally parameter and non-parametric test.</w:t>
      </w:r>
    </w:p>
    <w:p w14:paraId="5666835F" w14:textId="77777777" w:rsidR="000E5364" w:rsidRDefault="000E5364" w:rsidP="000E5364">
      <w:pPr>
        <w:pStyle w:val="Body"/>
        <w:spacing w:beforeLines="100" w:before="312" w:afterLines="100" w:after="312" w:line="480" w:lineRule="auto"/>
        <w:jc w:val="both"/>
        <w:rPr>
          <w:rFonts w:ascii="Times" w:hAnsi="Times"/>
          <w:b/>
          <w:bCs/>
        </w:rPr>
      </w:pPr>
      <w:r>
        <w:rPr>
          <w:rFonts w:asciiTheme="minorHAnsi" w:eastAsiaTheme="minorEastAsia" w:hAnsiTheme="minorHAnsi" w:cstheme="minorBidi"/>
          <w:sz w:val="21"/>
        </w:rPr>
        <w:object w:dxaOrig="8085" w:dyaOrig="4695" w14:anchorId="61345A92">
          <v:shape id="_x0000_i1055" type="#_x0000_t75" style="width:404.25pt;height:234.75pt" o:ole="">
            <v:imagedata r:id="rId38" o:title=""/>
          </v:shape>
          <o:OLEObject Type="Embed" ProgID="Visio.Drawing.11" ShapeID="_x0000_i1055" DrawAspect="Content" ObjectID="_1643821789" r:id="rId39"/>
        </w:object>
      </w:r>
      <w:r w:rsidRPr="000E5364">
        <w:rPr>
          <w:rFonts w:ascii="Times" w:hAnsi="Times"/>
          <w:b/>
          <w:bCs/>
        </w:rPr>
        <w:t xml:space="preserve"> </w:t>
      </w:r>
    </w:p>
    <w:p w14:paraId="55C5DF2E" w14:textId="264594B4" w:rsidR="000E5364" w:rsidRDefault="000E5364" w:rsidP="000E5364">
      <w:pPr>
        <w:pStyle w:val="Body"/>
        <w:spacing w:beforeLines="100" w:before="312" w:afterLines="100" w:after="312" w:line="480" w:lineRule="auto"/>
        <w:jc w:val="both"/>
        <w:rPr>
          <w:rStyle w:val="a7"/>
          <w:rFonts w:ascii="Times" w:hAnsi="Times"/>
          <w:b/>
          <w:bCs/>
        </w:rPr>
      </w:pPr>
      <w:bookmarkStart w:id="0" w:name="_GoBack"/>
      <w:bookmarkEnd w:id="0"/>
      <w:r w:rsidRPr="00B400B8">
        <w:rPr>
          <w:rStyle w:val="a7"/>
          <w:rFonts w:ascii="Times" w:hAnsi="Times"/>
          <w:b/>
          <w:bCs/>
        </w:rPr>
        <w:lastRenderedPageBreak/>
        <w:t xml:space="preserve">SUPPLEMENTARY </w:t>
      </w:r>
      <w:r>
        <w:rPr>
          <w:rStyle w:val="a7"/>
          <w:rFonts w:ascii="Times" w:hAnsi="Times"/>
          <w:b/>
          <w:bCs/>
        </w:rPr>
        <w:t>TABLES</w:t>
      </w:r>
    </w:p>
    <w:p w14:paraId="230FC60C"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w:t>
      </w:r>
      <w:r w:rsidRPr="008F684A">
        <w:rPr>
          <w:rStyle w:val="hiddenspellerror"/>
          <w:rFonts w:ascii="Times" w:hAnsi="Times" w:cs="Times"/>
          <w:b/>
          <w:bCs/>
          <w:color w:val="000000"/>
        </w:rPr>
        <w:t>S1</w:t>
      </w:r>
      <w:r w:rsidRPr="008F684A">
        <w:rPr>
          <w:rStyle w:val="mceitemhidden"/>
          <w:rFonts w:ascii="Times" w:hAnsi="Times" w:cs="Times"/>
          <w:b/>
          <w:bCs/>
          <w:color w:val="000000"/>
        </w:rPr>
        <w:t>: demographic characteristics of all participants. </w:t>
      </w:r>
      <w:r w:rsidRPr="008F684A">
        <w:rPr>
          <w:rStyle w:val="mceitemhidden"/>
          <w:rFonts w:ascii="Times" w:hAnsi="Times" w:cs="Times"/>
          <w:color w:val="000000"/>
        </w:rPr>
        <w:t>Four different comparisons analysis </w:t>
      </w:r>
      <w:r w:rsidRPr="008F684A">
        <w:rPr>
          <w:rStyle w:val="mceitemhidden"/>
          <w:rFonts w:ascii="Times" w:hAnsi="Times" w:cs="Times"/>
        </w:rPr>
        <w:t>were performed</w:t>
      </w:r>
      <w:r w:rsidRPr="008F684A">
        <w:rPr>
          <w:rStyle w:val="mceitemhidden"/>
          <w:rFonts w:ascii="Times" w:hAnsi="Times" w:cs="Times"/>
          <w:color w:val="000000"/>
        </w:rPr>
        <w:t>: a) Control vs Nodule. b)Control vs </w:t>
      </w:r>
      <w:r w:rsidRPr="008F684A">
        <w:rPr>
          <w:rStyle w:val="hiddenspellerror"/>
          <w:rFonts w:ascii="Times" w:hAnsi="Times" w:cs="Times"/>
          <w:color w:val="000000"/>
        </w:rPr>
        <w:t>TN2</w:t>
      </w:r>
      <w:r w:rsidRPr="008F684A">
        <w:rPr>
          <w:rStyle w:val="mceitemhidden"/>
          <w:rFonts w:ascii="Times" w:hAnsi="Times" w:cs="Times"/>
          <w:color w:val="000000"/>
        </w:rPr>
        <w:t>. c)</w:t>
      </w:r>
      <w:r w:rsidRPr="008F684A">
        <w:rPr>
          <w:rStyle w:val="hiddenspellerror"/>
          <w:rFonts w:ascii="Times" w:hAnsi="Times" w:cs="Times"/>
          <w:color w:val="000000"/>
        </w:rPr>
        <w:t>TN3</w:t>
      </w:r>
      <w:r w:rsidRPr="008F684A">
        <w:rPr>
          <w:rStyle w:val="mceitemhidden"/>
          <w:rFonts w:ascii="Times" w:hAnsi="Times" w:cs="Times"/>
          <w:color w:val="000000"/>
        </w:rPr>
        <w:t> vs </w:t>
      </w:r>
      <w:r w:rsidRPr="008F684A">
        <w:rPr>
          <w:rStyle w:val="hiddenspellerror"/>
          <w:rFonts w:ascii="Times" w:hAnsi="Times" w:cs="Times"/>
          <w:color w:val="000000"/>
        </w:rPr>
        <w:t>TN4</w:t>
      </w:r>
      <w:r w:rsidRPr="008F684A">
        <w:rPr>
          <w:rStyle w:val="mceitemhidden"/>
          <w:rFonts w:ascii="Times" w:hAnsi="Times" w:cs="Times"/>
          <w:color w:val="000000"/>
        </w:rPr>
        <w:t>. d) </w:t>
      </w:r>
      <w:r w:rsidRPr="008F684A">
        <w:rPr>
          <w:rStyle w:val="hiddenspellerror"/>
          <w:rFonts w:ascii="Times" w:hAnsi="Times" w:cs="Times"/>
          <w:color w:val="000000"/>
        </w:rPr>
        <w:t>LTN</w:t>
      </w:r>
      <w:r w:rsidRPr="008F684A">
        <w:rPr>
          <w:rStyle w:val="mceitemhidden"/>
          <w:rFonts w:ascii="Times" w:hAnsi="Times" w:cs="Times"/>
          <w:color w:val="000000"/>
        </w:rPr>
        <w:t> (Control and </w:t>
      </w:r>
      <w:r w:rsidRPr="008F684A">
        <w:rPr>
          <w:rStyle w:val="hiddenspellerror"/>
          <w:rFonts w:ascii="Times" w:hAnsi="Times" w:cs="Times"/>
          <w:color w:val="000000"/>
        </w:rPr>
        <w:t>TN2</w:t>
      </w:r>
      <w:r w:rsidRPr="008F684A">
        <w:rPr>
          <w:rStyle w:val="mceitemhidden"/>
          <w:rFonts w:ascii="Times" w:hAnsi="Times" w:cs="Times"/>
          <w:color w:val="000000"/>
        </w:rPr>
        <w:t>) vs </w:t>
      </w:r>
      <w:r w:rsidRPr="008F684A">
        <w:rPr>
          <w:rStyle w:val="hiddenspellerror"/>
          <w:rFonts w:ascii="Times" w:hAnsi="Times" w:cs="Times"/>
          <w:color w:val="000000"/>
        </w:rPr>
        <w:t>HTN</w:t>
      </w:r>
      <w:r w:rsidRPr="008F684A">
        <w:rPr>
          <w:rStyle w:val="mceitemhidden"/>
          <w:rFonts w:ascii="Times" w:hAnsi="Times" w:cs="Times"/>
          <w:color w:val="000000"/>
        </w:rPr>
        <w:t> (</w:t>
      </w:r>
      <w:r w:rsidRPr="008F684A">
        <w:rPr>
          <w:rStyle w:val="hiddenspellerror"/>
          <w:rFonts w:ascii="Times" w:hAnsi="Times" w:cs="Times"/>
          <w:color w:val="000000"/>
        </w:rPr>
        <w:t>TN3</w:t>
      </w:r>
      <w:r w:rsidRPr="008F684A">
        <w:rPr>
          <w:rStyle w:val="mceitemhidden"/>
          <w:rFonts w:ascii="Times" w:hAnsi="Times" w:cs="Times"/>
          <w:color w:val="000000"/>
        </w:rPr>
        <w:t> and </w:t>
      </w:r>
      <w:r w:rsidRPr="008F684A">
        <w:rPr>
          <w:rStyle w:val="hiddenspellerror"/>
          <w:rFonts w:ascii="Times" w:hAnsi="Times" w:cs="Times"/>
          <w:color w:val="000000"/>
        </w:rPr>
        <w:t>TN4</w:t>
      </w:r>
      <w:r w:rsidRPr="008F684A">
        <w:rPr>
          <w:rStyle w:val="mceitemhidden"/>
          <w:rFonts w:ascii="Times" w:hAnsi="Times" w:cs="Times"/>
          <w:color w:val="000000"/>
        </w:rPr>
        <w:t>). Test pathway denoted methods used for hypothesis tests (see method.).</w:t>
      </w:r>
    </w:p>
    <w:p w14:paraId="2F2D8823"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w:t>
      </w:r>
      <w:r w:rsidRPr="008F684A">
        <w:rPr>
          <w:rStyle w:val="hiddenspellerror"/>
          <w:rFonts w:ascii="Times" w:hAnsi="Times" w:cs="Times"/>
          <w:b/>
          <w:bCs/>
          <w:color w:val="000000"/>
        </w:rPr>
        <w:t>S2</w:t>
      </w:r>
      <w:r w:rsidRPr="008F684A">
        <w:rPr>
          <w:rStyle w:val="mceitemhidden"/>
          <w:rFonts w:ascii="Times" w:hAnsi="Times" w:cs="Times"/>
          <w:b/>
          <w:bCs/>
          <w:color w:val="000000"/>
        </w:rPr>
        <w:t>: microbiota characteristics and basic demographic metadata of all participants. </w:t>
      </w:r>
      <w:r w:rsidRPr="008F684A">
        <w:rPr>
          <w:rStyle w:val="mceitemhidden"/>
          <w:rFonts w:ascii="Times" w:hAnsi="Times" w:cs="Times"/>
          <w:color w:val="000000"/>
        </w:rPr>
        <w:t>The sample ID are constant with genome sequences archived in </w:t>
      </w:r>
      <w:r w:rsidRPr="008F684A">
        <w:rPr>
          <w:rStyle w:val="hiddenspellerror"/>
          <w:rFonts w:ascii="Times" w:hAnsi="Times" w:cs="Times"/>
          <w:color w:val="000000"/>
        </w:rPr>
        <w:t>EMBL</w:t>
      </w:r>
      <w:r w:rsidRPr="008F684A">
        <w:rPr>
          <w:rStyle w:val="mceitemhidden"/>
          <w:rFonts w:ascii="Times" w:hAnsi="Times" w:cs="Times"/>
          <w:color w:val="000000"/>
        </w:rPr>
        <w:t> database.</w:t>
      </w:r>
    </w:p>
    <w:p w14:paraId="00CC6F06"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S3: Hypothesis tests for all </w:t>
      </w:r>
      <w:r w:rsidRPr="008F684A">
        <w:rPr>
          <w:rStyle w:val="hiddenspellerror"/>
          <w:rFonts w:ascii="Times" w:hAnsi="Times" w:cs="Times"/>
          <w:b/>
          <w:bCs/>
          <w:color w:val="000000"/>
        </w:rPr>
        <w:t>PCOs</w:t>
      </w:r>
      <w:r w:rsidRPr="008F684A">
        <w:rPr>
          <w:rStyle w:val="mceitemhidden"/>
          <w:rFonts w:ascii="Times" w:hAnsi="Times" w:cs="Times"/>
          <w:b/>
          <w:bCs/>
          <w:color w:val="000000"/>
        </w:rPr>
        <w:t> based on microbial species composition. </w:t>
      </w:r>
      <w:r w:rsidRPr="008F684A">
        <w:rPr>
          <w:rStyle w:val="mceitemhidden"/>
          <w:rFonts w:ascii="Times" w:hAnsi="Times" w:cs="Times"/>
          <w:color w:val="000000"/>
        </w:rPr>
        <w:t>Significance determined by using single sided wilcoxon’s rank </w:t>
      </w:r>
      <w:r w:rsidRPr="008F684A">
        <w:rPr>
          <w:rStyle w:val="hiddenspellerror"/>
          <w:rFonts w:ascii="Times" w:hAnsi="Times" w:cs="Times"/>
          <w:color w:val="000000"/>
        </w:rPr>
        <w:t>sum</w:t>
      </w:r>
      <w:r w:rsidRPr="008F684A">
        <w:rPr>
          <w:rStyle w:val="mceitemhidden"/>
          <w:rFonts w:ascii="Times" w:hAnsi="Times" w:cs="Times"/>
          <w:color w:val="000000"/>
        </w:rPr>
        <w:t> test.</w:t>
      </w:r>
    </w:p>
    <w:p w14:paraId="3DCBF785"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w:t>
      </w:r>
      <w:r w:rsidRPr="008F684A">
        <w:rPr>
          <w:rStyle w:val="hiddenspellerror"/>
          <w:rFonts w:ascii="Times" w:hAnsi="Times" w:cs="Times"/>
          <w:b/>
          <w:bCs/>
          <w:color w:val="000000"/>
        </w:rPr>
        <w:t>S4</w:t>
      </w:r>
      <w:r w:rsidRPr="008F684A">
        <w:rPr>
          <w:rStyle w:val="mceitemhidden"/>
          <w:rFonts w:ascii="Times" w:hAnsi="Times" w:cs="Times"/>
          <w:b/>
          <w:bCs/>
          <w:color w:val="000000"/>
        </w:rPr>
        <w:t>: Hypothesis tests for all </w:t>
      </w:r>
      <w:r w:rsidRPr="008F684A">
        <w:rPr>
          <w:rStyle w:val="hiddenspellerror"/>
          <w:rFonts w:ascii="Times" w:hAnsi="Times" w:cs="Times"/>
          <w:b/>
          <w:bCs/>
          <w:color w:val="000000"/>
        </w:rPr>
        <w:t>PCOs</w:t>
      </w:r>
      <w:r w:rsidRPr="008F684A">
        <w:rPr>
          <w:rStyle w:val="mceitemhidden"/>
          <w:rFonts w:ascii="Times" w:hAnsi="Times" w:cs="Times"/>
          <w:b/>
          <w:bCs/>
          <w:color w:val="000000"/>
        </w:rPr>
        <w:t> based on microbial pathway composition. </w:t>
      </w:r>
      <w:r w:rsidRPr="008F684A">
        <w:rPr>
          <w:rStyle w:val="mceitemhidden"/>
          <w:rFonts w:ascii="Times" w:hAnsi="Times" w:cs="Times"/>
          <w:color w:val="000000"/>
        </w:rPr>
        <w:t>Significance determined by using single sided wilcoxon’s rank </w:t>
      </w:r>
      <w:r w:rsidRPr="008F684A">
        <w:rPr>
          <w:rStyle w:val="hiddenspellerror"/>
          <w:rFonts w:ascii="Times" w:hAnsi="Times" w:cs="Times"/>
          <w:color w:val="000000"/>
        </w:rPr>
        <w:t>sum</w:t>
      </w:r>
      <w:r w:rsidRPr="008F684A">
        <w:rPr>
          <w:rStyle w:val="mceitemhidden"/>
          <w:rFonts w:ascii="Times" w:hAnsi="Times" w:cs="Times"/>
          <w:color w:val="000000"/>
        </w:rPr>
        <w:t> test.</w:t>
      </w:r>
    </w:p>
    <w:p w14:paraId="54E387F3"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w:t>
      </w:r>
      <w:r w:rsidRPr="008F684A">
        <w:rPr>
          <w:rStyle w:val="hiddenspellerror"/>
          <w:rFonts w:ascii="Times" w:hAnsi="Times" w:cs="Times"/>
          <w:b/>
          <w:bCs/>
          <w:color w:val="000000"/>
        </w:rPr>
        <w:t>S5</w:t>
      </w:r>
      <w:r w:rsidRPr="008F684A">
        <w:rPr>
          <w:rStyle w:val="a8"/>
          <w:rFonts w:ascii="Times" w:eastAsia="Arial Unicode MS" w:hAnsi="Times" w:cs="Times"/>
          <w:b/>
          <w:bCs/>
          <w:color w:val="000000"/>
        </w:rPr>
        <w:t>：</w:t>
      </w:r>
      <w:r w:rsidRPr="008F684A">
        <w:rPr>
          <w:rStyle w:val="mceitemhidden"/>
          <w:rFonts w:ascii="Times" w:hAnsi="Times" w:cs="Times"/>
          <w:b/>
          <w:bCs/>
          <w:color w:val="000000"/>
        </w:rPr>
        <w:t>Number of observed species adjustment for </w:t>
      </w:r>
      <w:r w:rsidRPr="008F684A">
        <w:rPr>
          <w:rStyle w:val="hiddenspellerror"/>
          <w:rFonts w:ascii="Times" w:hAnsi="Times" w:cs="Times"/>
          <w:b/>
          <w:bCs/>
          <w:color w:val="000000"/>
        </w:rPr>
        <w:t>TN4</w:t>
      </w:r>
      <w:r w:rsidRPr="008F684A">
        <w:rPr>
          <w:rStyle w:val="mceitemhidden"/>
          <w:rFonts w:ascii="Times" w:hAnsi="Times" w:cs="Times"/>
          <w:b/>
          <w:bCs/>
          <w:color w:val="000000"/>
        </w:rPr>
        <w:t> with multiple linear regression.</w:t>
      </w:r>
    </w:p>
    <w:p w14:paraId="37E36A64"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w:t>
      </w:r>
      <w:r w:rsidRPr="008F684A">
        <w:rPr>
          <w:rStyle w:val="hiddenspellerror"/>
          <w:rFonts w:ascii="Times" w:hAnsi="Times" w:cs="Times"/>
          <w:b/>
          <w:bCs/>
          <w:color w:val="000000"/>
        </w:rPr>
        <w:t>S6</w:t>
      </w:r>
      <w:r w:rsidRPr="008F684A">
        <w:rPr>
          <w:rStyle w:val="a8"/>
          <w:rFonts w:ascii="Times" w:eastAsia="Arial Unicode MS" w:hAnsi="Times" w:cs="Times"/>
          <w:b/>
          <w:bCs/>
          <w:color w:val="000000"/>
        </w:rPr>
        <w:t>：</w:t>
      </w:r>
      <w:r w:rsidRPr="008F684A">
        <w:rPr>
          <w:rStyle w:val="mceitemhidden"/>
          <w:rFonts w:ascii="Times" w:hAnsi="Times" w:cs="Times"/>
          <w:b/>
          <w:bCs/>
          <w:color w:val="000000"/>
        </w:rPr>
        <w:t>microbiota species and pathways associated with </w:t>
      </w:r>
      <w:r w:rsidRPr="008F684A">
        <w:rPr>
          <w:rStyle w:val="hiddenspellerror"/>
          <w:rFonts w:ascii="Times" w:hAnsi="Times" w:cs="Times"/>
          <w:b/>
          <w:bCs/>
          <w:color w:val="000000"/>
        </w:rPr>
        <w:t>HTN</w:t>
      </w:r>
      <w:r w:rsidRPr="008F684A">
        <w:rPr>
          <w:rStyle w:val="mceitemhidden"/>
          <w:rFonts w:ascii="Times" w:hAnsi="Times" w:cs="Times"/>
          <w:b/>
          <w:bCs/>
          <w:color w:val="000000"/>
        </w:rPr>
        <w:t> group. </w:t>
      </w:r>
      <w:r w:rsidRPr="008F684A">
        <w:rPr>
          <w:rStyle w:val="hiddenspellerror"/>
          <w:rFonts w:ascii="Times" w:hAnsi="Times" w:cs="Times"/>
          <w:b/>
          <w:bCs/>
          <w:color w:val="000000"/>
        </w:rPr>
        <w:t>Pvalue</w:t>
      </w:r>
      <w:r w:rsidRPr="008F684A">
        <w:rPr>
          <w:rStyle w:val="mceitemhidden"/>
          <w:rFonts w:ascii="Times" w:hAnsi="Times" w:cs="Times"/>
          <w:b/>
          <w:bCs/>
          <w:color w:val="000000"/>
        </w:rPr>
        <w:t>, FDR </w:t>
      </w:r>
      <w:r w:rsidRPr="008F684A">
        <w:rPr>
          <w:rStyle w:val="hiddenspellerror"/>
          <w:rFonts w:ascii="Times" w:hAnsi="Times" w:cs="Times"/>
          <w:b/>
          <w:bCs/>
          <w:color w:val="000000"/>
        </w:rPr>
        <w:t>qvalue</w:t>
      </w:r>
      <w:r w:rsidRPr="008F684A">
        <w:rPr>
          <w:rStyle w:val="mceitemhidden"/>
          <w:rFonts w:ascii="Times" w:hAnsi="Times" w:cs="Times"/>
          <w:b/>
          <w:bCs/>
          <w:color w:val="000000"/>
        </w:rPr>
        <w:t> and coefficient </w:t>
      </w:r>
      <w:r w:rsidRPr="008F684A">
        <w:rPr>
          <w:rStyle w:val="hiddengrammarerror"/>
          <w:rFonts w:ascii="Times" w:hAnsi="Times" w:cs="Times"/>
          <w:b/>
          <w:bCs/>
          <w:color w:val="000000"/>
        </w:rPr>
        <w:t>are generated</w:t>
      </w:r>
      <w:r w:rsidRPr="008F684A">
        <w:rPr>
          <w:rStyle w:val="mceitemhidden"/>
          <w:rFonts w:ascii="Times" w:hAnsi="Times" w:cs="Times"/>
          <w:b/>
          <w:bCs/>
          <w:color w:val="000000"/>
        </w:rPr>
        <w:t> by using </w:t>
      </w:r>
      <w:r w:rsidRPr="008F684A">
        <w:rPr>
          <w:rStyle w:val="hiddenspellerror"/>
          <w:rFonts w:ascii="Times" w:hAnsi="Times" w:cs="Times"/>
          <w:b/>
          <w:bCs/>
          <w:color w:val="000000"/>
        </w:rPr>
        <w:t>MASSLIN2</w:t>
      </w:r>
      <w:r w:rsidRPr="008F684A">
        <w:rPr>
          <w:rStyle w:val="mceitemhidden"/>
          <w:rFonts w:ascii="Times" w:hAnsi="Times" w:cs="Times"/>
          <w:b/>
          <w:bCs/>
          <w:color w:val="000000"/>
        </w:rPr>
        <w:t>.</w:t>
      </w:r>
    </w:p>
    <w:p w14:paraId="2A75547F"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w:t>
      </w:r>
      <w:r w:rsidRPr="008F684A">
        <w:rPr>
          <w:rStyle w:val="hiddenspellerror"/>
          <w:rFonts w:ascii="Times" w:hAnsi="Times" w:cs="Times"/>
          <w:b/>
          <w:bCs/>
          <w:color w:val="000000"/>
        </w:rPr>
        <w:t>S7</w:t>
      </w:r>
      <w:r w:rsidRPr="008F684A">
        <w:rPr>
          <w:rStyle w:val="a8"/>
          <w:rFonts w:ascii="Times" w:eastAsia="Arial Unicode MS" w:hAnsi="Times" w:cs="Times"/>
          <w:b/>
          <w:bCs/>
          <w:color w:val="000000"/>
        </w:rPr>
        <w:t>：</w:t>
      </w:r>
      <w:r w:rsidRPr="008F684A">
        <w:rPr>
          <w:rStyle w:val="mceitemhidden"/>
          <w:rFonts w:ascii="Times" w:hAnsi="Times" w:cs="Times"/>
          <w:b/>
          <w:bCs/>
          <w:color w:val="000000"/>
        </w:rPr>
        <w:t>Species associated with </w:t>
      </w:r>
      <w:hyperlink r:id="rId40" w:history="1">
        <w:r w:rsidRPr="008F684A">
          <w:rPr>
            <w:rStyle w:val="mceitemhidden"/>
            <w:rFonts w:ascii="Times" w:hAnsi="Times" w:cs="Times"/>
            <w:b/>
            <w:color w:val="000000"/>
          </w:rPr>
          <w:t>Butyric</w:t>
        </w:r>
        <w:r w:rsidRPr="008F684A">
          <w:rPr>
            <w:rStyle w:val="mceitemhidden"/>
            <w:rFonts w:ascii="Times" w:hAnsi="Times" w:cs="Times"/>
            <w:b/>
            <w:bCs/>
            <w:color w:val="000000"/>
          </w:rPr>
          <w:t> acid</w:t>
        </w:r>
      </w:hyperlink>
      <w:r w:rsidRPr="008F684A">
        <w:rPr>
          <w:rStyle w:val="mceitemhidden"/>
          <w:rFonts w:ascii="Times" w:hAnsi="Times" w:cs="Times"/>
        </w:rPr>
        <w:t xml:space="preserve"> </w:t>
      </w:r>
      <w:r w:rsidRPr="008F684A">
        <w:rPr>
          <w:rStyle w:val="mceitemhidden"/>
          <w:rFonts w:ascii="Times" w:hAnsi="Times" w:cs="Times"/>
          <w:b/>
          <w:bCs/>
          <w:color w:val="000000"/>
        </w:rPr>
        <w:t>production pathway.</w:t>
      </w:r>
    </w:p>
    <w:p w14:paraId="723761A1"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w:t>
      </w:r>
      <w:r w:rsidRPr="008F684A">
        <w:rPr>
          <w:rStyle w:val="hiddenspellerror"/>
          <w:rFonts w:ascii="Times" w:hAnsi="Times" w:cs="Times"/>
          <w:b/>
          <w:bCs/>
          <w:color w:val="000000"/>
        </w:rPr>
        <w:t>S8</w:t>
      </w:r>
      <w:r w:rsidRPr="008F684A">
        <w:rPr>
          <w:rStyle w:val="a8"/>
          <w:rFonts w:ascii="Times" w:eastAsia="Arial Unicode MS" w:hAnsi="Times" w:cs="Times"/>
          <w:b/>
          <w:bCs/>
          <w:color w:val="000000"/>
        </w:rPr>
        <w:t>：</w:t>
      </w:r>
      <w:r w:rsidRPr="008F684A">
        <w:rPr>
          <w:rStyle w:val="a8"/>
          <w:rFonts w:ascii="Times" w:hAnsi="Times" w:cs="Times"/>
          <w:b/>
          <w:bCs/>
          <w:color w:val="000000"/>
        </w:rPr>
        <w:t>Bactero</w:t>
      </w:r>
      <w:r w:rsidRPr="008F684A">
        <w:rPr>
          <w:rStyle w:val="mceitemhidden"/>
          <w:rFonts w:ascii="Times" w:hAnsi="Times" w:cs="Times"/>
          <w:b/>
          <w:bCs/>
          <w:color w:val="000000"/>
        </w:rPr>
        <w:t>ides </w:t>
      </w:r>
      <w:r w:rsidRPr="008F684A">
        <w:rPr>
          <w:rStyle w:val="hiddenspellerror"/>
          <w:rFonts w:ascii="Times" w:hAnsi="Times" w:cs="Times"/>
          <w:b/>
          <w:bCs/>
          <w:color w:val="000000"/>
        </w:rPr>
        <w:t>plebeius</w:t>
      </w:r>
      <w:r w:rsidRPr="008F684A">
        <w:rPr>
          <w:rStyle w:val="mceitemhidden"/>
          <w:rFonts w:ascii="Times" w:hAnsi="Times" w:cs="Times"/>
          <w:b/>
          <w:bCs/>
          <w:color w:val="000000"/>
        </w:rPr>
        <w:t> and </w:t>
      </w:r>
      <w:r w:rsidRPr="008F684A">
        <w:rPr>
          <w:rStyle w:val="hiddenspellerror"/>
          <w:rFonts w:ascii="Times" w:hAnsi="Times" w:cs="Times"/>
          <w:b/>
          <w:bCs/>
          <w:color w:val="000000"/>
        </w:rPr>
        <w:t>Bifidobacterium</w:t>
      </w:r>
      <w:r w:rsidRPr="008F684A">
        <w:rPr>
          <w:rStyle w:val="mceitemhidden"/>
          <w:rFonts w:ascii="Times" w:hAnsi="Times" w:cs="Times"/>
          <w:b/>
          <w:bCs/>
          <w:color w:val="000000"/>
        </w:rPr>
        <w:t> </w:t>
      </w:r>
      <w:r w:rsidRPr="008F684A">
        <w:rPr>
          <w:rStyle w:val="hiddenspellerror"/>
          <w:rFonts w:ascii="Times" w:hAnsi="Times" w:cs="Times"/>
          <w:b/>
          <w:bCs/>
          <w:color w:val="000000"/>
        </w:rPr>
        <w:t>longum</w:t>
      </w:r>
      <w:r w:rsidRPr="008F684A">
        <w:rPr>
          <w:rStyle w:val="mceitemhidden"/>
          <w:rFonts w:ascii="Times" w:hAnsi="Times" w:cs="Times"/>
          <w:b/>
          <w:bCs/>
          <w:color w:val="000000"/>
        </w:rPr>
        <w:t> associated with </w:t>
      </w:r>
      <w:r w:rsidRPr="008F684A">
        <w:rPr>
          <w:rStyle w:val="hiddenspellerror"/>
          <w:rFonts w:ascii="Times" w:hAnsi="Times" w:cs="Times"/>
          <w:b/>
          <w:bCs/>
          <w:color w:val="000000"/>
        </w:rPr>
        <w:t>HTN</w:t>
      </w:r>
      <w:r w:rsidRPr="008F684A">
        <w:rPr>
          <w:rStyle w:val="mceitemhidden"/>
          <w:rFonts w:ascii="Times" w:hAnsi="Times" w:cs="Times"/>
          <w:b/>
          <w:bCs/>
          <w:color w:val="000000"/>
        </w:rPr>
        <w:t xml:space="preserve"> in female and male. </w:t>
      </w:r>
      <w:r w:rsidRPr="008F684A">
        <w:rPr>
          <w:rStyle w:val="mceitemhidden"/>
          <w:rFonts w:ascii="Times" w:hAnsi="Times" w:cs="Times"/>
          <w:color w:val="000000"/>
        </w:rPr>
        <w:t>Significance determined by using</w:t>
      </w:r>
      <w:r w:rsidRPr="008F684A">
        <w:rPr>
          <w:rStyle w:val="mceitemhidden"/>
          <w:rFonts w:ascii="Times" w:hAnsi="Times" w:cs="Times"/>
          <w:bCs/>
          <w:color w:val="000000"/>
        </w:rPr>
        <w:t xml:space="preserve"> multiple linear regression.</w:t>
      </w:r>
    </w:p>
    <w:p w14:paraId="51A940FE"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w:t>
      </w:r>
      <w:r w:rsidRPr="008F684A">
        <w:rPr>
          <w:rStyle w:val="hiddenspellerror"/>
          <w:rFonts w:ascii="Times" w:hAnsi="Times" w:cs="Times"/>
          <w:b/>
          <w:bCs/>
          <w:color w:val="000000"/>
        </w:rPr>
        <w:t>S9</w:t>
      </w:r>
      <w:r w:rsidRPr="008F684A">
        <w:rPr>
          <w:rStyle w:val="a8"/>
          <w:rFonts w:ascii="Times" w:eastAsia="Arial Unicode MS" w:hAnsi="Times" w:cs="Times"/>
          <w:b/>
          <w:bCs/>
          <w:color w:val="000000"/>
        </w:rPr>
        <w:t>：</w:t>
      </w:r>
      <w:r w:rsidRPr="008F684A">
        <w:rPr>
          <w:rStyle w:val="mceitemhidden"/>
          <w:rFonts w:ascii="Times" w:hAnsi="Times" w:cs="Times"/>
          <w:b/>
          <w:bCs/>
          <w:color w:val="000000"/>
        </w:rPr>
        <w:t>Association of demographic features and thyroid functions. significance determined by using LASSO.</w:t>
      </w:r>
    </w:p>
    <w:p w14:paraId="652F3281" w14:textId="77777777" w:rsidR="000E5364" w:rsidRPr="008F684A" w:rsidRDefault="000E5364" w:rsidP="000E5364">
      <w:pPr>
        <w:pStyle w:val="body0"/>
        <w:spacing w:beforeLines="100" w:before="312" w:beforeAutospacing="0" w:afterLines="100" w:after="312" w:afterAutospacing="0" w:line="360" w:lineRule="atLeast"/>
        <w:rPr>
          <w:rFonts w:ascii="Times" w:hAnsi="Times" w:cs="Times"/>
          <w:color w:val="000000"/>
        </w:rPr>
      </w:pPr>
      <w:r w:rsidRPr="008F684A">
        <w:rPr>
          <w:rStyle w:val="mceitemhidden"/>
          <w:rFonts w:ascii="Times" w:hAnsi="Times" w:cs="Times"/>
          <w:b/>
          <w:bCs/>
          <w:color w:val="000000"/>
        </w:rPr>
        <w:t>Table </w:t>
      </w:r>
      <w:r w:rsidRPr="008F684A">
        <w:rPr>
          <w:rStyle w:val="hiddenspellerror"/>
          <w:rFonts w:ascii="Times" w:hAnsi="Times" w:cs="Times"/>
          <w:b/>
          <w:bCs/>
          <w:color w:val="000000"/>
        </w:rPr>
        <w:t>S10</w:t>
      </w:r>
      <w:r w:rsidRPr="008F684A">
        <w:rPr>
          <w:rStyle w:val="a8"/>
          <w:rFonts w:ascii="Times" w:eastAsia="Arial Unicode MS" w:hAnsi="Times" w:cs="Times"/>
          <w:b/>
          <w:bCs/>
          <w:color w:val="000000"/>
        </w:rPr>
        <w:t>：</w:t>
      </w:r>
      <w:r w:rsidRPr="008F684A">
        <w:rPr>
          <w:rStyle w:val="a8"/>
          <w:rFonts w:ascii="Times" w:hAnsi="Times" w:cs="Times"/>
          <w:b/>
          <w:bCs/>
          <w:color w:val="000000"/>
        </w:rPr>
        <w:t xml:space="preserve">Microbiota  species and pathways associated with thyroid functions.  </w:t>
      </w:r>
      <w:r w:rsidRPr="008F684A">
        <w:rPr>
          <w:rStyle w:val="hiddenspellerror"/>
          <w:rFonts w:ascii="Times" w:hAnsi="Times" w:cs="Times"/>
          <w:color w:val="000000"/>
        </w:rPr>
        <w:t>Pvalue</w:t>
      </w:r>
      <w:r w:rsidRPr="008F684A">
        <w:rPr>
          <w:rStyle w:val="mceitemhidden"/>
          <w:rFonts w:ascii="Times" w:hAnsi="Times" w:cs="Times"/>
          <w:color w:val="000000"/>
        </w:rPr>
        <w:t>, FDR qvalue and coefficient are g</w:t>
      </w:r>
      <w:r w:rsidRPr="008F684A">
        <w:rPr>
          <w:rStyle w:val="mceitemhidden"/>
          <w:rFonts w:ascii="Times" w:hAnsi="Times" w:cs="Times"/>
        </w:rPr>
        <w:t>enerated</w:t>
      </w:r>
      <w:r w:rsidRPr="008F684A">
        <w:rPr>
          <w:rStyle w:val="mceitemhidden"/>
          <w:rFonts w:ascii="Times" w:hAnsi="Times" w:cs="Times"/>
          <w:color w:val="000000"/>
        </w:rPr>
        <w:t> by using </w:t>
      </w:r>
      <w:r w:rsidRPr="008F684A">
        <w:rPr>
          <w:rStyle w:val="hiddenspellerror"/>
          <w:rFonts w:ascii="Times" w:hAnsi="Times" w:cs="Times"/>
          <w:color w:val="000000"/>
        </w:rPr>
        <w:t>MASSLIN2</w:t>
      </w:r>
      <w:r w:rsidRPr="008F684A">
        <w:rPr>
          <w:rStyle w:val="mceitemhidden"/>
          <w:rFonts w:ascii="Times" w:hAnsi="Times" w:cs="Times"/>
          <w:color w:val="000000"/>
        </w:rPr>
        <w:t>.</w:t>
      </w:r>
    </w:p>
    <w:p w14:paraId="5EB15DB9" w14:textId="77777777" w:rsidR="000E5364" w:rsidRPr="007A1CB4" w:rsidRDefault="000E5364" w:rsidP="000E5364">
      <w:pPr>
        <w:pStyle w:val="body0"/>
        <w:spacing w:beforeLines="100" w:before="312" w:beforeAutospacing="0" w:afterLines="100" w:after="312" w:afterAutospacing="0" w:line="360" w:lineRule="atLeast"/>
        <w:rPr>
          <w:rFonts w:ascii="Times" w:hAnsi="Times" w:cs="Times" w:hint="eastAsia"/>
          <w:color w:val="000000"/>
        </w:rPr>
      </w:pPr>
      <w:r w:rsidRPr="008F684A">
        <w:rPr>
          <w:rStyle w:val="mceitemhidden"/>
          <w:rFonts w:ascii="Times" w:hAnsi="Times" w:cs="Times"/>
          <w:b/>
          <w:bCs/>
          <w:color w:val="000000"/>
        </w:rPr>
        <w:lastRenderedPageBreak/>
        <w:t>Table </w:t>
      </w:r>
      <w:r w:rsidRPr="008F684A">
        <w:rPr>
          <w:rStyle w:val="hiddenspellerror"/>
          <w:rFonts w:ascii="Times" w:hAnsi="Times" w:cs="Times"/>
          <w:b/>
          <w:bCs/>
          <w:color w:val="000000"/>
        </w:rPr>
        <w:t>S11</w:t>
      </w:r>
      <w:r w:rsidRPr="008F684A">
        <w:rPr>
          <w:rStyle w:val="a8"/>
          <w:rFonts w:ascii="Times" w:eastAsia="Arial Unicode MS" w:hAnsi="Times" w:cs="Times"/>
          <w:b/>
          <w:bCs/>
          <w:color w:val="000000"/>
        </w:rPr>
        <w:t>：</w:t>
      </w:r>
      <w:r w:rsidRPr="008F684A">
        <w:rPr>
          <w:rStyle w:val="mceitemhidden"/>
          <w:rFonts w:ascii="Times" w:hAnsi="Times" w:cs="Times"/>
          <w:b/>
          <w:bCs/>
          <w:color w:val="000000"/>
        </w:rPr>
        <w:t>Features used for </w:t>
      </w:r>
      <w:r w:rsidRPr="008F684A">
        <w:rPr>
          <w:rStyle w:val="hiddenspellerror"/>
          <w:rFonts w:ascii="Times" w:hAnsi="Times" w:cs="Times"/>
          <w:b/>
          <w:bCs/>
          <w:color w:val="000000"/>
        </w:rPr>
        <w:t>HTN</w:t>
      </w:r>
      <w:r w:rsidRPr="008F684A">
        <w:rPr>
          <w:rStyle w:val="mceitemhidden"/>
          <w:rFonts w:ascii="Times" w:hAnsi="Times" w:cs="Times"/>
          <w:b/>
          <w:bCs/>
          <w:color w:val="000000"/>
        </w:rPr>
        <w:t> discriminative model construction. </w:t>
      </w:r>
      <w:r w:rsidRPr="008F684A">
        <w:rPr>
          <w:rStyle w:val="hiddenspellerror"/>
          <w:rFonts w:ascii="Times" w:hAnsi="Times" w:cs="Times"/>
          <w:color w:val="000000"/>
        </w:rPr>
        <w:t>Pvalue</w:t>
      </w:r>
      <w:r w:rsidRPr="008F684A">
        <w:rPr>
          <w:rStyle w:val="mceitemhidden"/>
          <w:rFonts w:ascii="Times" w:hAnsi="Times" w:cs="Times"/>
          <w:color w:val="000000"/>
        </w:rPr>
        <w:t>, FDR </w:t>
      </w:r>
      <w:r w:rsidRPr="008F684A">
        <w:rPr>
          <w:rStyle w:val="hiddenspellerror"/>
          <w:rFonts w:ascii="Times" w:hAnsi="Times" w:cs="Times"/>
          <w:color w:val="000000"/>
        </w:rPr>
        <w:t>qvalue</w:t>
      </w:r>
      <w:r w:rsidRPr="008F684A">
        <w:rPr>
          <w:rStyle w:val="mceitemhidden"/>
          <w:rFonts w:ascii="Times" w:hAnsi="Times" w:cs="Times"/>
          <w:color w:val="000000"/>
        </w:rPr>
        <w:t> and coefficient </w:t>
      </w:r>
      <w:r w:rsidRPr="008F684A">
        <w:rPr>
          <w:rStyle w:val="mceitemhidden"/>
          <w:rFonts w:ascii="Times" w:hAnsi="Times" w:cs="Times"/>
        </w:rPr>
        <w:t>are generated</w:t>
      </w:r>
      <w:r w:rsidRPr="008F684A">
        <w:rPr>
          <w:rStyle w:val="mceitemhidden"/>
          <w:rFonts w:ascii="Times" w:hAnsi="Times" w:cs="Times"/>
          <w:color w:val="000000"/>
        </w:rPr>
        <w:t> by using </w:t>
      </w:r>
      <w:r w:rsidRPr="008F684A">
        <w:rPr>
          <w:rStyle w:val="mceitemhidden"/>
          <w:rFonts w:ascii="Times" w:hAnsi="Times" w:cs="Times"/>
        </w:rPr>
        <w:t>MASSL</w:t>
      </w:r>
      <w:r w:rsidRPr="008F684A">
        <w:rPr>
          <w:rStyle w:val="hiddenspellerror"/>
          <w:rFonts w:ascii="Times" w:hAnsi="Times" w:cs="Times"/>
          <w:color w:val="000000"/>
        </w:rPr>
        <w:t>IN2</w:t>
      </w:r>
      <w:r w:rsidRPr="008F684A">
        <w:rPr>
          <w:rStyle w:val="mceitemhidden"/>
          <w:rFonts w:ascii="Times" w:hAnsi="Times" w:cs="Times"/>
          <w:color w:val="000000"/>
        </w:rPr>
        <w:t>.</w:t>
      </w:r>
    </w:p>
    <w:p w14:paraId="55655A66" w14:textId="77777777" w:rsidR="000E5364" w:rsidRPr="00F536EC" w:rsidRDefault="000E5364" w:rsidP="000E5364">
      <w:pPr>
        <w:spacing w:beforeLines="100" w:before="312" w:afterLines="100" w:after="312"/>
        <w:rPr>
          <w:lang w:val="en-US"/>
        </w:rPr>
      </w:pPr>
    </w:p>
    <w:p w14:paraId="51A35CF5" w14:textId="49B0909C" w:rsidR="00F15F10" w:rsidRPr="000E5364" w:rsidRDefault="00F15F10" w:rsidP="000E5364">
      <w:pPr>
        <w:rPr>
          <w:lang w:val="en-US"/>
        </w:rPr>
      </w:pPr>
    </w:p>
    <w:sectPr w:rsidR="00F15F10" w:rsidRPr="000E5364" w:rsidSect="00187757">
      <w:pgSz w:w="11906" w:h="16838" w:code="9"/>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4BC696" w14:textId="77777777" w:rsidR="00A323E3" w:rsidRDefault="00A323E3" w:rsidP="000E5364">
      <w:r>
        <w:separator/>
      </w:r>
    </w:p>
  </w:endnote>
  <w:endnote w:type="continuationSeparator" w:id="0">
    <w:p w14:paraId="4C171676" w14:textId="77777777" w:rsidR="00A323E3" w:rsidRDefault="00A323E3" w:rsidP="000E5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Helvetica Neue">
    <w:altName w:val="Sylfaen"/>
    <w:charset w:val="00"/>
    <w:family w:val="roman"/>
    <w:pitch w:val="default"/>
    <w:sig w:usb0="E50002FF" w:usb1="500079DB" w:usb2="00000010" w:usb3="00000000" w:csb0="00000000"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4BC99F" w14:textId="77777777" w:rsidR="00A323E3" w:rsidRDefault="00A323E3" w:rsidP="000E5364">
      <w:r>
        <w:separator/>
      </w:r>
    </w:p>
  </w:footnote>
  <w:footnote w:type="continuationSeparator" w:id="0">
    <w:p w14:paraId="38438AA7" w14:textId="77777777" w:rsidR="00A323E3" w:rsidRDefault="00A323E3" w:rsidP="000E53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07B"/>
    <w:rsid w:val="00025C45"/>
    <w:rsid w:val="0008678F"/>
    <w:rsid w:val="000B7D1A"/>
    <w:rsid w:val="000E5364"/>
    <w:rsid w:val="00187757"/>
    <w:rsid w:val="002D3C9E"/>
    <w:rsid w:val="0031307B"/>
    <w:rsid w:val="003906D8"/>
    <w:rsid w:val="0043735B"/>
    <w:rsid w:val="00470044"/>
    <w:rsid w:val="004B1538"/>
    <w:rsid w:val="00583232"/>
    <w:rsid w:val="005D4517"/>
    <w:rsid w:val="006C1D34"/>
    <w:rsid w:val="006F38BB"/>
    <w:rsid w:val="00740B40"/>
    <w:rsid w:val="00796380"/>
    <w:rsid w:val="00845B4B"/>
    <w:rsid w:val="008812EC"/>
    <w:rsid w:val="008C3F3B"/>
    <w:rsid w:val="009232D2"/>
    <w:rsid w:val="00A323E3"/>
    <w:rsid w:val="00AD1F38"/>
    <w:rsid w:val="00C767ED"/>
    <w:rsid w:val="00C947D2"/>
    <w:rsid w:val="00CB78C8"/>
    <w:rsid w:val="00E46A4E"/>
    <w:rsid w:val="00EA1A4D"/>
    <w:rsid w:val="00F15F10"/>
    <w:rsid w:val="00F76686"/>
    <w:rsid w:val="00FC0DC1"/>
    <w:rsid w:val="00FC77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B50F22"/>
  <w15:chartTrackingRefBased/>
  <w15:docId w15:val="{9BE6A97D-F05D-46CA-829A-49C0560F2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0E5364"/>
    <w:rPr>
      <w:rFonts w:ascii="Times New Roman" w:eastAsia="MS Mincho" w:hAnsi="Times New Roman" w:cs="Times New Roman"/>
      <w:kern w:val="0"/>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E5364"/>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lang w:val="en-US" w:eastAsia="zh-CN"/>
    </w:rPr>
  </w:style>
  <w:style w:type="character" w:customStyle="1" w:styleId="a4">
    <w:name w:val="页眉 字符"/>
    <w:basedOn w:val="a0"/>
    <w:link w:val="a3"/>
    <w:uiPriority w:val="99"/>
    <w:rsid w:val="000E5364"/>
    <w:rPr>
      <w:sz w:val="18"/>
      <w:szCs w:val="18"/>
    </w:rPr>
  </w:style>
  <w:style w:type="paragraph" w:styleId="a5">
    <w:name w:val="footer"/>
    <w:basedOn w:val="a"/>
    <w:link w:val="a6"/>
    <w:uiPriority w:val="99"/>
    <w:unhideWhenUsed/>
    <w:rsid w:val="000E5364"/>
    <w:pPr>
      <w:widowControl w:val="0"/>
      <w:tabs>
        <w:tab w:val="center" w:pos="4153"/>
        <w:tab w:val="right" w:pos="8306"/>
      </w:tabs>
      <w:snapToGrid w:val="0"/>
    </w:pPr>
    <w:rPr>
      <w:rFonts w:asciiTheme="minorHAnsi" w:eastAsiaTheme="minorEastAsia" w:hAnsiTheme="minorHAnsi" w:cstheme="minorBidi"/>
      <w:kern w:val="2"/>
      <w:sz w:val="18"/>
      <w:szCs w:val="18"/>
      <w:lang w:val="en-US" w:eastAsia="zh-CN"/>
    </w:rPr>
  </w:style>
  <w:style w:type="character" w:customStyle="1" w:styleId="a6">
    <w:name w:val="页脚 字符"/>
    <w:basedOn w:val="a0"/>
    <w:link w:val="a5"/>
    <w:uiPriority w:val="99"/>
    <w:rsid w:val="000E5364"/>
    <w:rPr>
      <w:sz w:val="18"/>
      <w:szCs w:val="18"/>
    </w:rPr>
  </w:style>
  <w:style w:type="paragraph" w:customStyle="1" w:styleId="Tableofcontents">
    <w:name w:val="Table of contents"/>
    <w:basedOn w:val="a"/>
    <w:autoRedefine/>
    <w:rsid w:val="000E5364"/>
    <w:pPr>
      <w:spacing w:afterLines="100" w:after="240"/>
      <w:jc w:val="both"/>
    </w:pPr>
    <w:rPr>
      <w:rFonts w:eastAsiaTheme="minorEastAsia"/>
      <w:b/>
      <w:lang w:val="en-US" w:eastAsia="zh-CN"/>
    </w:rPr>
  </w:style>
  <w:style w:type="paragraph" w:customStyle="1" w:styleId="Title2">
    <w:name w:val="Title2"/>
    <w:basedOn w:val="a"/>
    <w:rsid w:val="000E5364"/>
    <w:rPr>
      <w:b/>
      <w:lang w:val="en-US"/>
    </w:rPr>
  </w:style>
  <w:style w:type="character" w:customStyle="1" w:styleId="a7">
    <w:name w:val="无"/>
    <w:qFormat/>
    <w:rsid w:val="000E5364"/>
    <w:rPr>
      <w:lang w:val="en-US"/>
    </w:rPr>
  </w:style>
  <w:style w:type="paragraph" w:customStyle="1" w:styleId="Body">
    <w:name w:val="Body"/>
    <w:qFormat/>
    <w:rsid w:val="000E5364"/>
    <w:rPr>
      <w:rFonts w:ascii="Helvetica Neue" w:eastAsia="Arial Unicode MS" w:hAnsi="Helvetica Neue" w:cs="Arial Unicode MS"/>
      <w:color w:val="000000"/>
      <w:kern w:val="0"/>
      <w:sz w:val="22"/>
      <w:u w:color="000000"/>
    </w:rPr>
  </w:style>
  <w:style w:type="paragraph" w:customStyle="1" w:styleId="Default">
    <w:name w:val="Default"/>
    <w:qFormat/>
    <w:rsid w:val="000E5364"/>
    <w:rPr>
      <w:rFonts w:ascii="Helvetica Neue" w:eastAsia="Arial Unicode MS" w:hAnsi="Helvetica Neue" w:cs="Arial Unicode MS"/>
      <w:color w:val="000000"/>
      <w:kern w:val="0"/>
      <w:sz w:val="22"/>
      <w:u w:color="000000"/>
    </w:rPr>
  </w:style>
  <w:style w:type="paragraph" w:customStyle="1" w:styleId="body0">
    <w:name w:val="body"/>
    <w:basedOn w:val="a"/>
    <w:rsid w:val="000E5364"/>
    <w:pPr>
      <w:spacing w:before="100" w:beforeAutospacing="1" w:after="100" w:afterAutospacing="1"/>
    </w:pPr>
    <w:rPr>
      <w:rFonts w:ascii="宋体" w:eastAsia="宋体" w:hAnsi="宋体" w:cs="宋体"/>
      <w:lang w:val="en-US" w:eastAsia="zh-CN"/>
    </w:rPr>
  </w:style>
  <w:style w:type="character" w:customStyle="1" w:styleId="a8">
    <w:name w:val="a"/>
    <w:basedOn w:val="a0"/>
    <w:rsid w:val="000E5364"/>
  </w:style>
  <w:style w:type="character" w:customStyle="1" w:styleId="mceitemhidden">
    <w:name w:val="mceitemhidden"/>
    <w:basedOn w:val="a0"/>
    <w:rsid w:val="000E5364"/>
  </w:style>
  <w:style w:type="character" w:customStyle="1" w:styleId="hiddenspellerror">
    <w:name w:val="hiddenspellerror"/>
    <w:basedOn w:val="a0"/>
    <w:rsid w:val="000E5364"/>
  </w:style>
  <w:style w:type="character" w:customStyle="1" w:styleId="hiddengrammarerror">
    <w:name w:val="hiddengrammarerror"/>
    <w:basedOn w:val="a0"/>
    <w:rsid w:val="000E53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oleObject" Target="embeddings/oleObject4.bin"/><Relationship Id="rId18" Type="http://schemas.openxmlformats.org/officeDocument/2006/relationships/image" Target="media/image7.png"/><Relationship Id="rId26" Type="http://schemas.openxmlformats.org/officeDocument/2006/relationships/image" Target="media/image11.png"/><Relationship Id="rId39" Type="http://schemas.openxmlformats.org/officeDocument/2006/relationships/oleObject" Target="embeddings/oleObject17.bin"/><Relationship Id="rId3" Type="http://schemas.openxmlformats.org/officeDocument/2006/relationships/webSettings" Target="webSettings.xml"/><Relationship Id="rId21" Type="http://schemas.openxmlformats.org/officeDocument/2006/relationships/oleObject" Target="embeddings/oleObject8.bin"/><Relationship Id="rId34" Type="http://schemas.openxmlformats.org/officeDocument/2006/relationships/image" Target="media/image15.png"/><Relationship Id="rId42"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4.png"/><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7.emf"/><Relationship Id="rId2" Type="http://schemas.openxmlformats.org/officeDocument/2006/relationships/settings" Target="settings.xml"/><Relationship Id="rId16" Type="http://schemas.openxmlformats.org/officeDocument/2006/relationships/image" Target="media/image6.png"/><Relationship Id="rId20" Type="http://schemas.openxmlformats.org/officeDocument/2006/relationships/image" Target="media/image8.png"/><Relationship Id="rId29" Type="http://schemas.openxmlformats.org/officeDocument/2006/relationships/oleObject" Target="embeddings/oleObject12.bin"/><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oleObject" Target="embeddings/oleObject3.bin"/><Relationship Id="rId24" Type="http://schemas.openxmlformats.org/officeDocument/2006/relationships/image" Target="media/image10.png"/><Relationship Id="rId32" Type="http://schemas.openxmlformats.org/officeDocument/2006/relationships/image" Target="media/image14.emf"/><Relationship Id="rId37" Type="http://schemas.openxmlformats.org/officeDocument/2006/relationships/oleObject" Target="embeddings/oleObject16.bin"/><Relationship Id="rId40" Type="http://schemas.openxmlformats.org/officeDocument/2006/relationships/hyperlink" Target="https://www.google.com/search?sxsrf=ACYBGNQjlfA5u7PdxFAQam3aB2uy4qgKXg:1579768391886&amp;q=Butyric+acid&amp;spell=1&amp;sa=X&amp;ved=2ahUKEwjxk83up5nnAhWByYsBHQtrCTkQkeECKAB6BAgUECU" TargetMode="External"/><Relationship Id="rId5" Type="http://schemas.openxmlformats.org/officeDocument/2006/relationships/endnotes" Target="endnote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png"/><Relationship Id="rId36"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oleObject" Target="embeddings/oleObject11.bin"/><Relationship Id="rId30" Type="http://schemas.openxmlformats.org/officeDocument/2006/relationships/image" Target="media/image13.png"/><Relationship Id="rId35" Type="http://schemas.openxmlformats.org/officeDocument/2006/relationships/oleObject" Target="embeddings/oleObject15.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1478</Words>
  <Characters>8431</Characters>
  <Application>Microsoft Office Word</Application>
  <DocSecurity>0</DocSecurity>
  <Lines>70</Lines>
  <Paragraphs>19</Paragraphs>
  <ScaleCrop>false</ScaleCrop>
  <Company/>
  <LinksUpToDate>false</LinksUpToDate>
  <CharactersWithSpaces>9890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Qwki</dc:creator>
  <cp:keywords/>
  <dc:description/>
  <cp:lastModifiedBy>Qwki</cp:lastModifiedBy>
  <cp:revision>2</cp:revision>
  <dcterms:created xsi:type="dcterms:W3CDTF">2020-02-21T12:21:00Z</dcterms:created>
  <dcterms:modified xsi:type="dcterms:W3CDTF">2020-02-21T12:22:00Z</dcterms:modified>
</cp:coreProperties>
</file>